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56" w:type="dxa"/>
        <w:tblInd w:w="-15" w:type="dxa"/>
        <w:tblCellMar>
          <w:left w:w="0" w:type="dxa"/>
          <w:right w:w="0" w:type="dxa"/>
        </w:tblCellMar>
        <w:tblLook w:val="04A0" w:firstRow="1" w:lastRow="0" w:firstColumn="1" w:lastColumn="0" w:noHBand="0" w:noVBand="1"/>
      </w:tblPr>
      <w:tblGrid>
        <w:gridCol w:w="11590"/>
        <w:gridCol w:w="1032"/>
        <w:gridCol w:w="1032"/>
        <w:gridCol w:w="1002"/>
      </w:tblGrid>
      <w:tr w:rsidR="00A231F4" w:rsidRPr="00A231F4" w:rsidTr="007E71D0">
        <w:tc>
          <w:tcPr>
            <w:tcW w:w="1159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tcPr>
          <w:p w:rsidR="00A231F4" w:rsidRPr="00A231F4" w:rsidRDefault="00A231F4" w:rsidP="00592C14">
            <w:pPr>
              <w:rPr>
                <w:rFonts w:cs="Arial"/>
                <w:b/>
                <w:bCs/>
                <w:color w:val="626161"/>
                <w:lang w:eastAsia="sl-SI"/>
              </w:rPr>
            </w:pPr>
            <w:r w:rsidRPr="00A231F4">
              <w:rPr>
                <w:rFonts w:cs="Arial"/>
                <w:b/>
                <w:bCs/>
                <w:color w:val="626161"/>
                <w:lang w:eastAsia="sl-SI"/>
              </w:rPr>
              <w:t>Informativna višina denarne socialne pomoči v letu 2016</w:t>
            </w:r>
            <w:r w:rsidRPr="00A231F4">
              <w:rPr>
                <w:rFonts w:cs="Arial"/>
                <w:color w:val="626161"/>
                <w:lang w:eastAsia="sl-SI"/>
              </w:rPr>
              <w:t> (cenzus), je za:</w:t>
            </w:r>
          </w:p>
        </w:tc>
        <w:tc>
          <w:tcPr>
            <w:tcW w:w="103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 xml:space="preserve">po </w:t>
            </w:r>
            <w:proofErr w:type="spellStart"/>
            <w:r w:rsidRPr="00A231F4">
              <w:rPr>
                <w:rFonts w:cs="Arial"/>
                <w:lang w:eastAsia="sl-SI"/>
              </w:rPr>
              <w:t>ZSVarPre</w:t>
            </w:r>
            <w:proofErr w:type="spellEnd"/>
          </w:p>
        </w:tc>
        <w:tc>
          <w:tcPr>
            <w:tcW w:w="10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231F4" w:rsidRPr="00A231F4" w:rsidRDefault="00A231F4">
            <w:pPr>
              <w:jc w:val="right"/>
              <w:rPr>
                <w:lang w:eastAsia="sl-SI"/>
              </w:rPr>
            </w:pPr>
            <w:r w:rsidRPr="00A231F4">
              <w:rPr>
                <w:lang w:eastAsia="sl-SI"/>
              </w:rPr>
              <w:t>državna denarna pomoč </w:t>
            </w:r>
          </w:p>
        </w:tc>
        <w:tc>
          <w:tcPr>
            <w:tcW w:w="100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občinska denarna pomoč </w:t>
            </w:r>
          </w:p>
        </w:tc>
      </w:tr>
      <w:tr w:rsidR="00A231F4" w:rsidRPr="00A231F4" w:rsidTr="00061279">
        <w:trPr>
          <w:trHeight w:val="108"/>
        </w:trPr>
        <w:tc>
          <w:tcPr>
            <w:tcW w:w="1159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231F4" w:rsidRPr="00A231F4" w:rsidRDefault="00A231F4" w:rsidP="00A3678D">
            <w:pPr>
              <w:jc w:val="right"/>
              <w:rPr>
                <w:rFonts w:cs="Arial"/>
                <w:lang w:eastAsia="sl-SI"/>
              </w:rPr>
            </w:pPr>
            <w:r w:rsidRPr="00A231F4">
              <w:rPr>
                <w:rFonts w:cs="Arial"/>
                <w:lang w:eastAsia="sl-SI"/>
              </w:rPr>
              <w:t>status</w:t>
            </w:r>
          </w:p>
        </w:tc>
        <w:tc>
          <w:tcPr>
            <w:tcW w:w="1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utež</w:t>
            </w:r>
          </w:p>
        </w:tc>
        <w:tc>
          <w:tcPr>
            <w:tcW w:w="1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231F4" w:rsidRPr="00A231F4" w:rsidRDefault="00A231F4" w:rsidP="006F72CD">
            <w:pPr>
              <w:jc w:val="right"/>
              <w:rPr>
                <w:rFonts w:cs="Arial"/>
                <w:lang w:eastAsia="sl-SI"/>
              </w:rPr>
            </w:pPr>
            <w:r w:rsidRPr="00A231F4">
              <w:rPr>
                <w:rFonts w:cs="Arial"/>
                <w:lang w:eastAsia="sl-SI"/>
              </w:rPr>
              <w:t>znesek €</w:t>
            </w:r>
          </w:p>
        </w:tc>
        <w:tc>
          <w:tcPr>
            <w:tcW w:w="100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231F4" w:rsidRPr="00A231F4" w:rsidRDefault="006F72CD" w:rsidP="007E778C">
            <w:pPr>
              <w:jc w:val="right"/>
              <w:rPr>
                <w:rFonts w:cs="Arial"/>
                <w:lang w:eastAsia="sl-SI"/>
              </w:rPr>
            </w:pPr>
            <w:r>
              <w:rPr>
                <w:rFonts w:cs="Arial"/>
                <w:lang w:eastAsia="sl-SI"/>
              </w:rPr>
              <w:t>znesek €</w:t>
            </w:r>
          </w:p>
        </w:tc>
      </w:tr>
      <w:tr w:rsidR="00A231F4" w:rsidRPr="00A231F4" w:rsidTr="00061279">
        <w:trPr>
          <w:trHeight w:val="120"/>
        </w:trPr>
        <w:tc>
          <w:tcPr>
            <w:tcW w:w="11590" w:type="dxa"/>
            <w:tcBorders>
              <w:top w:val="nil"/>
              <w:left w:val="single" w:sz="8" w:space="0" w:color="auto"/>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prvo odraslo osebo ali samsko osebo ali odraslo osebo, ki je v institucionalnem varstvu</w:t>
            </w:r>
          </w:p>
        </w:tc>
        <w:tc>
          <w:tcPr>
            <w:tcW w:w="1032" w:type="dxa"/>
            <w:tcBorders>
              <w:top w:val="nil"/>
              <w:left w:val="nil"/>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1</w:t>
            </w:r>
          </w:p>
        </w:tc>
        <w:tc>
          <w:tcPr>
            <w:tcW w:w="1032" w:type="dxa"/>
            <w:tcBorders>
              <w:top w:val="nil"/>
              <w:left w:val="nil"/>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288,81</w:t>
            </w:r>
          </w:p>
        </w:tc>
        <w:tc>
          <w:tcPr>
            <w:tcW w:w="1002" w:type="dxa"/>
            <w:tcBorders>
              <w:top w:val="nil"/>
              <w:left w:val="nil"/>
              <w:bottom w:val="single" w:sz="8" w:space="0" w:color="auto"/>
              <w:right w:val="single" w:sz="8" w:space="0" w:color="auto"/>
            </w:tcBorders>
            <w:shd w:val="clear" w:color="auto" w:fill="DAEEF3" w:themeFill="accent5" w:themeFillTint="33"/>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433,215</w:t>
            </w:r>
          </w:p>
        </w:tc>
      </w:tr>
      <w:tr w:rsidR="00A231F4" w:rsidRPr="00A231F4" w:rsidTr="007E71D0">
        <w:tc>
          <w:tcPr>
            <w:tcW w:w="11590" w:type="dxa"/>
            <w:tcBorders>
              <w:top w:val="nil"/>
              <w:left w:val="single" w:sz="8" w:space="0" w:color="auto"/>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proofErr w:type="gramStart"/>
            <w:r w:rsidRPr="00A231F4">
              <w:rPr>
                <w:rFonts w:cs="Arial"/>
                <w:lang w:eastAsia="sl-SI"/>
              </w:rPr>
              <w:t>prvo</w:t>
            </w:r>
            <w:proofErr w:type="gramEnd"/>
            <w:r w:rsidRPr="00A231F4">
              <w:rPr>
                <w:rFonts w:cs="Arial"/>
                <w:lang w:eastAsia="sl-SI"/>
              </w:rPr>
              <w:t xml:space="preserve"> odraslo osebo ali samsko osebo, ki je delovno aktivna v obsegu od 60 do 128 ur na mesec**</w:t>
            </w:r>
          </w:p>
        </w:tc>
        <w:tc>
          <w:tcPr>
            <w:tcW w:w="1032" w:type="dxa"/>
            <w:tcBorders>
              <w:top w:val="nil"/>
              <w:left w:val="nil"/>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1,28</w:t>
            </w:r>
          </w:p>
        </w:tc>
        <w:tc>
          <w:tcPr>
            <w:tcW w:w="1032" w:type="dxa"/>
            <w:tcBorders>
              <w:top w:val="nil"/>
              <w:left w:val="nil"/>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349,67</w:t>
            </w:r>
          </w:p>
        </w:tc>
        <w:tc>
          <w:tcPr>
            <w:tcW w:w="1002" w:type="dxa"/>
            <w:tcBorders>
              <w:top w:val="nil"/>
              <w:left w:val="nil"/>
              <w:bottom w:val="single" w:sz="8" w:space="0" w:color="auto"/>
              <w:right w:val="single" w:sz="8" w:space="0" w:color="auto"/>
            </w:tcBorders>
            <w:shd w:val="clear" w:color="auto" w:fill="DAEEF3" w:themeFill="accent5" w:themeFillTint="33"/>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524,505</w:t>
            </w:r>
          </w:p>
        </w:tc>
      </w:tr>
      <w:tr w:rsidR="00A231F4" w:rsidRPr="00A231F4" w:rsidTr="007E71D0">
        <w:tc>
          <w:tcPr>
            <w:tcW w:w="11590" w:type="dxa"/>
            <w:tcBorders>
              <w:top w:val="nil"/>
              <w:left w:val="single" w:sz="8" w:space="0" w:color="auto"/>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prvo odraslo osebo oziroma samsko osebo, ki je delovno aktivna v obsegu več kot 128 ur na mesec</w:t>
            </w:r>
          </w:p>
        </w:tc>
        <w:tc>
          <w:tcPr>
            <w:tcW w:w="1032" w:type="dxa"/>
            <w:tcBorders>
              <w:top w:val="nil"/>
              <w:left w:val="nil"/>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1,56</w:t>
            </w:r>
          </w:p>
        </w:tc>
        <w:tc>
          <w:tcPr>
            <w:tcW w:w="1032" w:type="dxa"/>
            <w:tcBorders>
              <w:top w:val="nil"/>
              <w:left w:val="nil"/>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450,54</w:t>
            </w:r>
          </w:p>
        </w:tc>
        <w:tc>
          <w:tcPr>
            <w:tcW w:w="1002" w:type="dxa"/>
            <w:tcBorders>
              <w:top w:val="nil"/>
              <w:left w:val="nil"/>
              <w:bottom w:val="single" w:sz="8" w:space="0" w:color="auto"/>
              <w:right w:val="single" w:sz="8" w:space="0" w:color="auto"/>
            </w:tcBorders>
            <w:shd w:val="clear" w:color="auto" w:fill="DAEEF3" w:themeFill="accent5" w:themeFillTint="33"/>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675,81</w:t>
            </w:r>
          </w:p>
        </w:tc>
      </w:tr>
      <w:tr w:rsidR="00A231F4" w:rsidRPr="00A231F4" w:rsidTr="007E71D0">
        <w:tc>
          <w:tcPr>
            <w:tcW w:w="11590" w:type="dxa"/>
            <w:tcBorders>
              <w:top w:val="nil"/>
              <w:left w:val="single" w:sz="8" w:space="0" w:color="auto"/>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samsko osebo med dopolnjenim 18. in dopolnjenim 26. letom starosti, prijavljeno pri zavodu za zaposlovanje v evidenci brezposelnih oseb oziroma v evidenci iskalcev zaposlitve, ki ima prijavljeno stalno prebivališče na istem naslovu kot starši ali dejansko prebiva z njimi ter imajo starši dovolj lastnih sredstev za preživljanje</w:t>
            </w:r>
          </w:p>
        </w:tc>
        <w:tc>
          <w:tcPr>
            <w:tcW w:w="1032" w:type="dxa"/>
            <w:tcBorders>
              <w:top w:val="nil"/>
              <w:left w:val="nil"/>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0,7</w:t>
            </w:r>
          </w:p>
        </w:tc>
        <w:tc>
          <w:tcPr>
            <w:tcW w:w="1032" w:type="dxa"/>
            <w:tcBorders>
              <w:top w:val="nil"/>
              <w:left w:val="nil"/>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202,16</w:t>
            </w:r>
          </w:p>
        </w:tc>
        <w:tc>
          <w:tcPr>
            <w:tcW w:w="1002" w:type="dxa"/>
            <w:tcBorders>
              <w:top w:val="nil"/>
              <w:left w:val="nil"/>
              <w:bottom w:val="single" w:sz="8" w:space="0" w:color="auto"/>
              <w:right w:val="single" w:sz="8" w:space="0" w:color="auto"/>
            </w:tcBorders>
            <w:shd w:val="clear" w:color="auto" w:fill="DAEEF3" w:themeFill="accent5" w:themeFillTint="33"/>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303,24</w:t>
            </w:r>
          </w:p>
        </w:tc>
      </w:tr>
      <w:tr w:rsidR="00A231F4" w:rsidRPr="00A231F4" w:rsidTr="007E71D0">
        <w:tc>
          <w:tcPr>
            <w:tcW w:w="11590" w:type="dxa"/>
            <w:tcBorders>
              <w:top w:val="nil"/>
              <w:left w:val="single" w:sz="8" w:space="0" w:color="auto"/>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samsko osebo, ki je trajno nezaposljiva ali trajno nezmožna za delo ali je starejša od 63 let (ženska) oziroma 65 let (moški), ki ima prijavljeno stalno ali začasno prebivališče na istem naslovu kot osebe, ki niso družinski člani po tem zakonu in imajo dovolj lastnih sredstev za preživljanje, oziroma dejansko prebiva z njimi</w:t>
            </w:r>
          </w:p>
        </w:tc>
        <w:tc>
          <w:tcPr>
            <w:tcW w:w="1032" w:type="dxa"/>
            <w:tcBorders>
              <w:top w:val="nil"/>
              <w:left w:val="nil"/>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0,76</w:t>
            </w:r>
          </w:p>
        </w:tc>
        <w:tc>
          <w:tcPr>
            <w:tcW w:w="1032" w:type="dxa"/>
            <w:tcBorders>
              <w:top w:val="nil"/>
              <w:left w:val="nil"/>
              <w:bottom w:val="single" w:sz="8" w:space="0" w:color="auto"/>
              <w:right w:val="single" w:sz="8" w:space="0" w:color="auto"/>
            </w:tcBorders>
            <w:shd w:val="clear" w:color="auto" w:fill="DAEEF3" w:themeFill="accent5"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219,5</w:t>
            </w:r>
          </w:p>
        </w:tc>
        <w:tc>
          <w:tcPr>
            <w:tcW w:w="1002" w:type="dxa"/>
            <w:tcBorders>
              <w:top w:val="nil"/>
              <w:left w:val="nil"/>
              <w:bottom w:val="single" w:sz="8" w:space="0" w:color="auto"/>
              <w:right w:val="single" w:sz="8" w:space="0" w:color="auto"/>
            </w:tcBorders>
            <w:shd w:val="clear" w:color="auto" w:fill="DAEEF3" w:themeFill="accent5" w:themeFillTint="33"/>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329,25</w:t>
            </w:r>
          </w:p>
        </w:tc>
      </w:tr>
      <w:tr w:rsidR="00A231F4" w:rsidRPr="00A231F4" w:rsidTr="007E71D0">
        <w:tc>
          <w:tcPr>
            <w:tcW w:w="11590" w:type="dxa"/>
            <w:tcBorders>
              <w:top w:val="nil"/>
              <w:left w:val="single" w:sz="8" w:space="0" w:color="auto"/>
              <w:bottom w:val="single" w:sz="8" w:space="0" w:color="auto"/>
              <w:right w:val="single" w:sz="8" w:space="0" w:color="auto"/>
            </w:tcBorders>
            <w:shd w:val="clear" w:color="auto" w:fill="C6D9F1" w:themeFill="text2"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vsako naslednjo odraslo osebo</w:t>
            </w:r>
          </w:p>
        </w:tc>
        <w:tc>
          <w:tcPr>
            <w:tcW w:w="1032" w:type="dxa"/>
            <w:tcBorders>
              <w:top w:val="nil"/>
              <w:left w:val="nil"/>
              <w:bottom w:val="single" w:sz="8" w:space="0" w:color="auto"/>
              <w:right w:val="single" w:sz="8" w:space="0" w:color="auto"/>
            </w:tcBorders>
            <w:shd w:val="clear" w:color="auto" w:fill="C6D9F1" w:themeFill="text2"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0,57</w:t>
            </w:r>
          </w:p>
        </w:tc>
        <w:tc>
          <w:tcPr>
            <w:tcW w:w="1032" w:type="dxa"/>
            <w:tcBorders>
              <w:top w:val="nil"/>
              <w:left w:val="nil"/>
              <w:bottom w:val="single" w:sz="8" w:space="0" w:color="auto"/>
              <w:right w:val="single" w:sz="8" w:space="0" w:color="auto"/>
            </w:tcBorders>
            <w:shd w:val="clear" w:color="auto" w:fill="C6D9F1" w:themeFill="text2"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164,62</w:t>
            </w:r>
          </w:p>
        </w:tc>
        <w:tc>
          <w:tcPr>
            <w:tcW w:w="1002" w:type="dxa"/>
            <w:tcBorders>
              <w:top w:val="nil"/>
              <w:left w:val="nil"/>
              <w:bottom w:val="single" w:sz="8" w:space="0" w:color="auto"/>
              <w:right w:val="single" w:sz="8" w:space="0" w:color="auto"/>
            </w:tcBorders>
            <w:shd w:val="clear" w:color="auto" w:fill="C6D9F1" w:themeFill="text2" w:themeFillTint="33"/>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246,93</w:t>
            </w:r>
          </w:p>
        </w:tc>
      </w:tr>
      <w:tr w:rsidR="00A231F4" w:rsidRPr="00A231F4" w:rsidTr="007E71D0">
        <w:tc>
          <w:tcPr>
            <w:tcW w:w="11590" w:type="dxa"/>
            <w:tcBorders>
              <w:top w:val="nil"/>
              <w:left w:val="single" w:sz="8" w:space="0" w:color="auto"/>
              <w:bottom w:val="single" w:sz="8" w:space="0" w:color="auto"/>
              <w:right w:val="single" w:sz="8" w:space="0" w:color="auto"/>
            </w:tcBorders>
            <w:shd w:val="clear" w:color="auto" w:fill="C6D9F1" w:themeFill="text2"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vsako naslednjo odraslo osebo, ki je delovno aktivna v obsegu več kot 128 ur na mesec</w:t>
            </w:r>
          </w:p>
        </w:tc>
        <w:tc>
          <w:tcPr>
            <w:tcW w:w="1032" w:type="dxa"/>
            <w:tcBorders>
              <w:top w:val="nil"/>
              <w:left w:val="nil"/>
              <w:bottom w:val="single" w:sz="8" w:space="0" w:color="auto"/>
              <w:right w:val="single" w:sz="8" w:space="0" w:color="auto"/>
            </w:tcBorders>
            <w:shd w:val="clear" w:color="auto" w:fill="C6D9F1" w:themeFill="text2"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0,85</w:t>
            </w:r>
          </w:p>
        </w:tc>
        <w:tc>
          <w:tcPr>
            <w:tcW w:w="1032" w:type="dxa"/>
            <w:tcBorders>
              <w:top w:val="nil"/>
              <w:left w:val="nil"/>
              <w:bottom w:val="single" w:sz="8" w:space="0" w:color="auto"/>
              <w:right w:val="single" w:sz="8" w:space="0" w:color="auto"/>
            </w:tcBorders>
            <w:shd w:val="clear" w:color="auto" w:fill="C6D9F1" w:themeFill="text2"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245,48</w:t>
            </w:r>
          </w:p>
        </w:tc>
        <w:tc>
          <w:tcPr>
            <w:tcW w:w="1002" w:type="dxa"/>
            <w:tcBorders>
              <w:top w:val="nil"/>
              <w:left w:val="nil"/>
              <w:bottom w:val="single" w:sz="8" w:space="0" w:color="auto"/>
              <w:right w:val="single" w:sz="8" w:space="0" w:color="auto"/>
            </w:tcBorders>
            <w:shd w:val="clear" w:color="auto" w:fill="C6D9F1" w:themeFill="text2" w:themeFillTint="33"/>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368,22</w:t>
            </w:r>
          </w:p>
        </w:tc>
      </w:tr>
      <w:tr w:rsidR="00A231F4" w:rsidRPr="00A231F4" w:rsidTr="007E71D0">
        <w:tc>
          <w:tcPr>
            <w:tcW w:w="11590" w:type="dxa"/>
            <w:tcBorders>
              <w:top w:val="nil"/>
              <w:left w:val="single" w:sz="8" w:space="0" w:color="auto"/>
              <w:bottom w:val="single" w:sz="8" w:space="0" w:color="auto"/>
              <w:right w:val="single" w:sz="8" w:space="0" w:color="auto"/>
            </w:tcBorders>
            <w:shd w:val="clear" w:color="auto" w:fill="C6D9F1" w:themeFill="text2"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vsako naslednjo odraslo osebo, ki je delovno aktivna v obsegu od 60 do 128 ur na mesec</w:t>
            </w:r>
          </w:p>
        </w:tc>
        <w:tc>
          <w:tcPr>
            <w:tcW w:w="1032" w:type="dxa"/>
            <w:tcBorders>
              <w:top w:val="nil"/>
              <w:left w:val="nil"/>
              <w:bottom w:val="single" w:sz="8" w:space="0" w:color="auto"/>
              <w:right w:val="single" w:sz="8" w:space="0" w:color="auto"/>
            </w:tcBorders>
            <w:shd w:val="clear" w:color="auto" w:fill="C6D9F1" w:themeFill="text2"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0,71</w:t>
            </w:r>
          </w:p>
        </w:tc>
        <w:tc>
          <w:tcPr>
            <w:tcW w:w="1032" w:type="dxa"/>
            <w:tcBorders>
              <w:top w:val="nil"/>
              <w:left w:val="nil"/>
              <w:bottom w:val="single" w:sz="8" w:space="0" w:color="auto"/>
              <w:right w:val="single" w:sz="8" w:space="0" w:color="auto"/>
            </w:tcBorders>
            <w:shd w:val="clear" w:color="auto" w:fill="C6D9F1" w:themeFill="text2" w:themeFillTint="33"/>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205,05</w:t>
            </w:r>
          </w:p>
        </w:tc>
        <w:tc>
          <w:tcPr>
            <w:tcW w:w="1002" w:type="dxa"/>
            <w:tcBorders>
              <w:top w:val="nil"/>
              <w:left w:val="nil"/>
              <w:bottom w:val="single" w:sz="8" w:space="0" w:color="auto"/>
              <w:right w:val="single" w:sz="8" w:space="0" w:color="auto"/>
            </w:tcBorders>
            <w:shd w:val="clear" w:color="auto" w:fill="C6D9F1" w:themeFill="text2" w:themeFillTint="33"/>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307,575</w:t>
            </w:r>
          </w:p>
        </w:tc>
      </w:tr>
      <w:tr w:rsidR="00A231F4" w:rsidRPr="00A231F4" w:rsidTr="007E71D0">
        <w:tc>
          <w:tcPr>
            <w:tcW w:w="11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prvega otroka, ki je najstarejši</w:t>
            </w:r>
          </w:p>
        </w:tc>
        <w:tc>
          <w:tcPr>
            <w:tcW w:w="1032"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0,76</w:t>
            </w:r>
          </w:p>
        </w:tc>
        <w:tc>
          <w:tcPr>
            <w:tcW w:w="1032"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219,5</w:t>
            </w:r>
          </w:p>
        </w:tc>
        <w:tc>
          <w:tcPr>
            <w:tcW w:w="1002"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329,25</w:t>
            </w:r>
          </w:p>
        </w:tc>
      </w:tr>
      <w:tr w:rsidR="00A231F4" w:rsidRPr="00A231F4" w:rsidTr="007E71D0">
        <w:tc>
          <w:tcPr>
            <w:tcW w:w="11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vsakega naslednjega otroka</w:t>
            </w:r>
          </w:p>
        </w:tc>
        <w:tc>
          <w:tcPr>
            <w:tcW w:w="1032"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0,66</w:t>
            </w:r>
          </w:p>
        </w:tc>
        <w:tc>
          <w:tcPr>
            <w:tcW w:w="1032"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190,61</w:t>
            </w:r>
          </w:p>
        </w:tc>
        <w:tc>
          <w:tcPr>
            <w:tcW w:w="1002"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285,915</w:t>
            </w:r>
          </w:p>
        </w:tc>
      </w:tr>
      <w:tr w:rsidR="00A231F4" w:rsidRPr="00A231F4" w:rsidTr="007E71D0">
        <w:tc>
          <w:tcPr>
            <w:tcW w:w="11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povečanje za vsakega otroka v enostarševski družini, kadar je drugi od staršev umrl in otrok po njem ne dobiva prejemkov ali je drugi od staršev neznan ali kadar otrok po drugem od staršev prejemkov za preživljanje dejansko ne prejema</w:t>
            </w:r>
          </w:p>
        </w:tc>
        <w:tc>
          <w:tcPr>
            <w:tcW w:w="1032"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0,2</w:t>
            </w:r>
          </w:p>
        </w:tc>
        <w:tc>
          <w:tcPr>
            <w:tcW w:w="1032"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bottom"/>
            <w:hideMark/>
          </w:tcPr>
          <w:p w:rsidR="00A231F4" w:rsidRPr="00A231F4" w:rsidRDefault="00A231F4">
            <w:pPr>
              <w:jc w:val="right"/>
              <w:rPr>
                <w:rFonts w:cs="Arial"/>
                <w:lang w:eastAsia="sl-SI"/>
              </w:rPr>
            </w:pPr>
            <w:r w:rsidRPr="00A231F4">
              <w:rPr>
                <w:rFonts w:cs="Arial"/>
                <w:lang w:eastAsia="sl-SI"/>
              </w:rPr>
              <w:t>57,76</w:t>
            </w:r>
          </w:p>
        </w:tc>
        <w:tc>
          <w:tcPr>
            <w:tcW w:w="1002"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bottom"/>
            <w:hideMark/>
          </w:tcPr>
          <w:p w:rsidR="00A231F4" w:rsidRPr="00A231F4" w:rsidRDefault="00A231F4">
            <w:pPr>
              <w:jc w:val="right"/>
              <w:rPr>
                <w:b/>
                <w:bCs/>
                <w:lang w:eastAsia="sl-SI"/>
              </w:rPr>
            </w:pPr>
            <w:r w:rsidRPr="00A231F4">
              <w:rPr>
                <w:b/>
                <w:bCs/>
                <w:lang w:eastAsia="sl-SI"/>
              </w:rPr>
              <w:t>86,64</w:t>
            </w:r>
          </w:p>
        </w:tc>
      </w:tr>
    </w:tbl>
    <w:p w:rsidR="00EC4D9E" w:rsidRDefault="00EC4D9E" w:rsidP="00870590">
      <w:pPr>
        <w:spacing w:after="0" w:line="240" w:lineRule="auto"/>
        <w:rPr>
          <w:rFonts w:cs="Times New Roman"/>
          <w:sz w:val="2"/>
          <w:szCs w:val="2"/>
        </w:rPr>
      </w:pPr>
    </w:p>
    <w:p w:rsidR="007E71D0" w:rsidRPr="00916AC3" w:rsidRDefault="00916AC3" w:rsidP="00061279">
      <w:pPr>
        <w:pStyle w:val="Navadensplet"/>
        <w:shd w:val="clear" w:color="auto" w:fill="FFFFFF"/>
        <w:spacing w:before="0" w:beforeAutospacing="0" w:after="210" w:afterAutospacing="0"/>
        <w:ind w:firstLine="240"/>
        <w:jc w:val="both"/>
        <w:rPr>
          <w:rFonts w:asciiTheme="minorHAnsi" w:hAnsiTheme="minorHAnsi"/>
          <w:i/>
          <w:sz w:val="6"/>
          <w:szCs w:val="2"/>
        </w:rPr>
      </w:pPr>
      <w:r>
        <w:rPr>
          <w:rFonts w:asciiTheme="minorHAnsi" w:hAnsiTheme="minorHAnsi" w:cs="Arial"/>
          <w:i/>
          <w:color w:val="333333"/>
          <w:sz w:val="22"/>
          <w:szCs w:val="18"/>
        </w:rPr>
        <w:t>P</w:t>
      </w:r>
      <w:r w:rsidR="00061279" w:rsidRPr="00916AC3">
        <w:rPr>
          <w:rFonts w:asciiTheme="minorHAnsi" w:hAnsiTheme="minorHAnsi" w:cs="Arial"/>
          <w:i/>
          <w:color w:val="333333"/>
          <w:sz w:val="22"/>
          <w:szCs w:val="18"/>
        </w:rPr>
        <w:t>o seštetju dohodkov se o</w:t>
      </w:r>
      <w:r w:rsidR="007E71D0" w:rsidRPr="00916AC3">
        <w:rPr>
          <w:rFonts w:asciiTheme="minorHAnsi" w:hAnsiTheme="minorHAnsi" w:cs="Arial"/>
          <w:i/>
          <w:color w:val="333333"/>
          <w:sz w:val="22"/>
          <w:szCs w:val="18"/>
        </w:rPr>
        <w:t xml:space="preserve">d lastnega dohodka odšteje znesek mesečnega obroka namenskega stanovanjskega </w:t>
      </w:r>
      <w:r w:rsidR="00460000" w:rsidRPr="00916AC3">
        <w:rPr>
          <w:rFonts w:asciiTheme="minorHAnsi" w:hAnsiTheme="minorHAnsi" w:cs="Arial"/>
          <w:i/>
          <w:color w:val="333333"/>
          <w:sz w:val="22"/>
          <w:szCs w:val="18"/>
        </w:rPr>
        <w:t>posojila</w:t>
      </w:r>
      <w:r w:rsidR="007E71D0" w:rsidRPr="00916AC3">
        <w:rPr>
          <w:rFonts w:asciiTheme="minorHAnsi" w:hAnsiTheme="minorHAnsi" w:cs="Arial"/>
          <w:i/>
          <w:color w:val="333333"/>
          <w:sz w:val="22"/>
          <w:szCs w:val="18"/>
        </w:rPr>
        <w:t xml:space="preserve"> za stanovanje oziroma hišo, v ka</w:t>
      </w:r>
      <w:r w:rsidR="007E71D0" w:rsidRPr="00916AC3">
        <w:rPr>
          <w:rFonts w:asciiTheme="minorHAnsi" w:hAnsiTheme="minorHAnsi" w:cs="Arial"/>
          <w:i/>
          <w:color w:val="333333"/>
          <w:sz w:val="22"/>
          <w:szCs w:val="18"/>
        </w:rPr>
        <w:t>teri upravičenec dejansko živi</w:t>
      </w:r>
      <w:r w:rsidR="008C75F1" w:rsidRPr="00916AC3">
        <w:rPr>
          <w:rFonts w:asciiTheme="minorHAnsi" w:hAnsiTheme="minorHAnsi" w:cs="Arial"/>
          <w:i/>
          <w:color w:val="333333"/>
          <w:sz w:val="22"/>
          <w:szCs w:val="18"/>
        </w:rPr>
        <w:t xml:space="preserve">, </w:t>
      </w:r>
      <w:r w:rsidR="00006C6B" w:rsidRPr="00916AC3">
        <w:rPr>
          <w:rFonts w:asciiTheme="minorHAnsi" w:hAnsiTheme="minorHAnsi" w:cs="Arial"/>
          <w:i/>
          <w:color w:val="333333"/>
          <w:sz w:val="22"/>
          <w:szCs w:val="18"/>
        </w:rPr>
        <w:t>odštejejo</w:t>
      </w:r>
      <w:r w:rsidR="008C75F1" w:rsidRPr="00916AC3">
        <w:rPr>
          <w:rFonts w:asciiTheme="minorHAnsi" w:hAnsiTheme="minorHAnsi" w:cs="Arial"/>
          <w:i/>
          <w:color w:val="333333"/>
          <w:sz w:val="22"/>
          <w:szCs w:val="18"/>
        </w:rPr>
        <w:t xml:space="preserve"> se tudi strošk</w:t>
      </w:r>
      <w:r w:rsidR="00006C6B">
        <w:rPr>
          <w:rFonts w:asciiTheme="minorHAnsi" w:hAnsiTheme="minorHAnsi" w:cs="Arial"/>
          <w:i/>
          <w:color w:val="333333"/>
          <w:sz w:val="22"/>
          <w:szCs w:val="18"/>
        </w:rPr>
        <w:t>i</w:t>
      </w:r>
      <w:r w:rsidR="008C75F1" w:rsidRPr="00916AC3">
        <w:rPr>
          <w:rFonts w:asciiTheme="minorHAnsi" w:hAnsiTheme="minorHAnsi" w:cs="Arial"/>
          <w:i/>
          <w:color w:val="333333"/>
          <w:sz w:val="22"/>
          <w:szCs w:val="18"/>
        </w:rPr>
        <w:t xml:space="preserve"> dela ter morebitn</w:t>
      </w:r>
      <w:r w:rsidR="00006C6B">
        <w:rPr>
          <w:rFonts w:asciiTheme="minorHAnsi" w:hAnsiTheme="minorHAnsi" w:cs="Arial"/>
          <w:i/>
          <w:color w:val="333333"/>
          <w:sz w:val="22"/>
          <w:szCs w:val="18"/>
        </w:rPr>
        <w:t>i</w:t>
      </w:r>
      <w:r w:rsidR="008C75F1" w:rsidRPr="00916AC3">
        <w:rPr>
          <w:rFonts w:asciiTheme="minorHAnsi" w:hAnsiTheme="minorHAnsi" w:cs="Arial"/>
          <w:i/>
          <w:color w:val="333333"/>
          <w:sz w:val="22"/>
          <w:szCs w:val="18"/>
        </w:rPr>
        <w:t xml:space="preserve"> dodatk</w:t>
      </w:r>
      <w:r w:rsidR="00006C6B">
        <w:rPr>
          <w:rFonts w:asciiTheme="minorHAnsi" w:hAnsiTheme="minorHAnsi" w:cs="Arial"/>
          <w:i/>
          <w:color w:val="333333"/>
          <w:sz w:val="22"/>
          <w:szCs w:val="18"/>
        </w:rPr>
        <w:t>i</w:t>
      </w:r>
      <w:r w:rsidR="008C75F1" w:rsidRPr="00916AC3">
        <w:rPr>
          <w:rFonts w:asciiTheme="minorHAnsi" w:hAnsiTheme="minorHAnsi" w:cs="Arial"/>
          <w:i/>
          <w:color w:val="333333"/>
          <w:sz w:val="22"/>
          <w:szCs w:val="18"/>
        </w:rPr>
        <w:t xml:space="preserve"> za pomoč in postrežbo ter socialni varstveni dodatek</w:t>
      </w:r>
      <w:r w:rsidR="007E71D0" w:rsidRPr="00916AC3">
        <w:rPr>
          <w:rFonts w:asciiTheme="minorHAnsi" w:hAnsiTheme="minorHAnsi" w:cs="Arial"/>
          <w:i/>
          <w:color w:val="333333"/>
          <w:sz w:val="22"/>
          <w:szCs w:val="18"/>
        </w:rPr>
        <w:t>.</w:t>
      </w:r>
      <w:r w:rsidR="008C75F1" w:rsidRPr="00916AC3">
        <w:rPr>
          <w:rFonts w:asciiTheme="minorHAnsi" w:hAnsiTheme="minorHAnsi" w:cs="Arial"/>
          <w:i/>
          <w:color w:val="333333"/>
          <w:sz w:val="22"/>
          <w:szCs w:val="18"/>
        </w:rPr>
        <w:t xml:space="preserve"> Končni znesek se primerja s </w:t>
      </w:r>
      <w:r w:rsidR="00442675" w:rsidRPr="00916AC3">
        <w:rPr>
          <w:rFonts w:asciiTheme="minorHAnsi" w:hAnsiTheme="minorHAnsi" w:cs="Arial"/>
          <w:i/>
          <w:color w:val="333333"/>
          <w:sz w:val="22"/>
          <w:szCs w:val="18"/>
        </w:rPr>
        <w:t xml:space="preserve">seštevkom cenzusov iz zgornje razpredelnice, ki ga </w:t>
      </w:r>
      <w:r w:rsidR="00006C6B">
        <w:rPr>
          <w:rFonts w:asciiTheme="minorHAnsi" w:hAnsiTheme="minorHAnsi" w:cs="Arial"/>
          <w:i/>
          <w:color w:val="333333"/>
          <w:sz w:val="22"/>
          <w:szCs w:val="18"/>
        </w:rPr>
        <w:t xml:space="preserve">upravičenec za dodelitev pomoči </w:t>
      </w:r>
      <w:r w:rsidR="00442675" w:rsidRPr="00916AC3">
        <w:rPr>
          <w:rFonts w:asciiTheme="minorHAnsi" w:hAnsiTheme="minorHAnsi" w:cs="Arial"/>
          <w:i/>
          <w:color w:val="333333"/>
          <w:sz w:val="22"/>
          <w:szCs w:val="18"/>
        </w:rPr>
        <w:t>ne sme preseči.</w:t>
      </w:r>
      <w:bookmarkStart w:id="0" w:name="_GoBack"/>
      <w:bookmarkEnd w:id="0"/>
    </w:p>
    <w:sectPr w:rsidR="007E71D0" w:rsidRPr="00916AC3" w:rsidSect="00061279">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20"/>
    <w:rsid w:val="00006C6B"/>
    <w:rsid w:val="00027171"/>
    <w:rsid w:val="00061279"/>
    <w:rsid w:val="00111C33"/>
    <w:rsid w:val="00133179"/>
    <w:rsid w:val="00137362"/>
    <w:rsid w:val="00235318"/>
    <w:rsid w:val="002E309E"/>
    <w:rsid w:val="003C683C"/>
    <w:rsid w:val="00442675"/>
    <w:rsid w:val="00460000"/>
    <w:rsid w:val="005D094C"/>
    <w:rsid w:val="0068273B"/>
    <w:rsid w:val="006F72CD"/>
    <w:rsid w:val="00713D3B"/>
    <w:rsid w:val="007E71D0"/>
    <w:rsid w:val="00870590"/>
    <w:rsid w:val="00892E4D"/>
    <w:rsid w:val="008C75F1"/>
    <w:rsid w:val="00916AC3"/>
    <w:rsid w:val="009E1483"/>
    <w:rsid w:val="00A231F4"/>
    <w:rsid w:val="00BF0420"/>
    <w:rsid w:val="00EC4D9E"/>
    <w:rsid w:val="00F54D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7E71D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7E71D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99002">
      <w:bodyDiv w:val="1"/>
      <w:marLeft w:val="0"/>
      <w:marRight w:val="0"/>
      <w:marTop w:val="0"/>
      <w:marBottom w:val="0"/>
      <w:divBdr>
        <w:top w:val="none" w:sz="0" w:space="0" w:color="auto"/>
        <w:left w:val="none" w:sz="0" w:space="0" w:color="auto"/>
        <w:bottom w:val="none" w:sz="0" w:space="0" w:color="auto"/>
        <w:right w:val="none" w:sz="0" w:space="0" w:color="auto"/>
      </w:divBdr>
    </w:div>
    <w:div w:id="1503817940">
      <w:bodyDiv w:val="1"/>
      <w:marLeft w:val="0"/>
      <w:marRight w:val="0"/>
      <w:marTop w:val="0"/>
      <w:marBottom w:val="0"/>
      <w:divBdr>
        <w:top w:val="none" w:sz="0" w:space="0" w:color="auto"/>
        <w:left w:val="none" w:sz="0" w:space="0" w:color="auto"/>
        <w:bottom w:val="none" w:sz="0" w:space="0" w:color="auto"/>
        <w:right w:val="none" w:sz="0" w:space="0" w:color="auto"/>
      </w:divBdr>
    </w:div>
    <w:div w:id="15548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331</Words>
  <Characters>1891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Rozman</dc:creator>
  <cp:lastModifiedBy>Gregor Rozman</cp:lastModifiedBy>
  <cp:revision>3</cp:revision>
  <dcterms:created xsi:type="dcterms:W3CDTF">2016-01-15T07:47:00Z</dcterms:created>
  <dcterms:modified xsi:type="dcterms:W3CDTF">2016-02-05T08:26:00Z</dcterms:modified>
</cp:coreProperties>
</file>