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56" w:type="dxa"/>
        <w:tblInd w:w="-15" w:type="dxa"/>
        <w:tblCellMar>
          <w:left w:w="0" w:type="dxa"/>
          <w:right w:w="0" w:type="dxa"/>
        </w:tblCellMar>
        <w:tblLook w:val="04A0" w:firstRow="1" w:lastRow="0" w:firstColumn="1" w:lastColumn="0" w:noHBand="0" w:noVBand="1"/>
      </w:tblPr>
      <w:tblGrid>
        <w:gridCol w:w="11590"/>
        <w:gridCol w:w="1032"/>
        <w:gridCol w:w="1032"/>
        <w:gridCol w:w="1002"/>
      </w:tblGrid>
      <w:tr w:rsidR="00A231F4" w:rsidRPr="00A231F4" w:rsidTr="007E71D0">
        <w:tc>
          <w:tcPr>
            <w:tcW w:w="1159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tcPr>
          <w:p w:rsidR="00A231F4" w:rsidRPr="00A231F4" w:rsidRDefault="00A231F4" w:rsidP="00592C14">
            <w:pPr>
              <w:rPr>
                <w:rFonts w:cs="Arial"/>
                <w:b/>
                <w:bCs/>
                <w:color w:val="626161"/>
                <w:lang w:eastAsia="sl-SI"/>
              </w:rPr>
            </w:pPr>
            <w:r w:rsidRPr="00A231F4">
              <w:rPr>
                <w:rFonts w:cs="Arial"/>
                <w:b/>
                <w:bCs/>
                <w:color w:val="626161"/>
                <w:lang w:eastAsia="sl-SI"/>
              </w:rPr>
              <w:t>Informativna višina denarne socialne pomoči v letu 2016</w:t>
            </w:r>
            <w:r w:rsidRPr="00A231F4">
              <w:rPr>
                <w:rFonts w:cs="Arial"/>
                <w:color w:val="626161"/>
                <w:lang w:eastAsia="sl-SI"/>
              </w:rPr>
              <w:t> (cenzus), je za:</w:t>
            </w:r>
          </w:p>
        </w:tc>
        <w:tc>
          <w:tcPr>
            <w:tcW w:w="103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231F4" w:rsidRPr="00A231F4" w:rsidRDefault="00A231F4">
            <w:pPr>
              <w:jc w:val="right"/>
              <w:rPr>
                <w:rFonts w:cs="Arial"/>
                <w:lang w:eastAsia="sl-SI"/>
              </w:rPr>
            </w:pPr>
            <w:r w:rsidRPr="00A231F4">
              <w:rPr>
                <w:rFonts w:cs="Arial"/>
                <w:lang w:eastAsia="sl-SI"/>
              </w:rPr>
              <w:t xml:space="preserve">po </w:t>
            </w:r>
            <w:proofErr w:type="spellStart"/>
            <w:r w:rsidRPr="00A231F4">
              <w:rPr>
                <w:rFonts w:cs="Arial"/>
                <w:lang w:eastAsia="sl-SI"/>
              </w:rPr>
              <w:t>ZSVarPre</w:t>
            </w:r>
            <w:proofErr w:type="spellEnd"/>
          </w:p>
        </w:tc>
        <w:tc>
          <w:tcPr>
            <w:tcW w:w="103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231F4" w:rsidRPr="00A231F4" w:rsidRDefault="00A231F4">
            <w:pPr>
              <w:jc w:val="right"/>
              <w:rPr>
                <w:lang w:eastAsia="sl-SI"/>
              </w:rPr>
            </w:pPr>
            <w:r w:rsidRPr="00A231F4">
              <w:rPr>
                <w:lang w:eastAsia="sl-SI"/>
              </w:rPr>
              <w:t>državna denarna pomoč </w:t>
            </w:r>
          </w:p>
        </w:tc>
        <w:tc>
          <w:tcPr>
            <w:tcW w:w="100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231F4" w:rsidRPr="00A231F4" w:rsidRDefault="00A231F4">
            <w:pPr>
              <w:jc w:val="right"/>
              <w:rPr>
                <w:b/>
                <w:bCs/>
                <w:lang w:eastAsia="sl-SI"/>
              </w:rPr>
            </w:pPr>
            <w:r w:rsidRPr="00A231F4">
              <w:rPr>
                <w:b/>
                <w:bCs/>
                <w:lang w:eastAsia="sl-SI"/>
              </w:rPr>
              <w:t>občinska denarna pomoč </w:t>
            </w:r>
          </w:p>
        </w:tc>
      </w:tr>
      <w:tr w:rsidR="00A231F4" w:rsidRPr="00A231F4" w:rsidTr="00061279">
        <w:trPr>
          <w:trHeight w:val="108"/>
        </w:trPr>
        <w:tc>
          <w:tcPr>
            <w:tcW w:w="1159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A231F4" w:rsidRPr="00A231F4" w:rsidRDefault="00A231F4" w:rsidP="00A3678D">
            <w:pPr>
              <w:jc w:val="right"/>
              <w:rPr>
                <w:rFonts w:cs="Arial"/>
                <w:lang w:eastAsia="sl-SI"/>
              </w:rPr>
            </w:pPr>
            <w:r w:rsidRPr="00A231F4">
              <w:rPr>
                <w:rFonts w:cs="Arial"/>
                <w:lang w:eastAsia="sl-SI"/>
              </w:rPr>
              <w:t>status</w:t>
            </w:r>
          </w:p>
        </w:tc>
        <w:tc>
          <w:tcPr>
            <w:tcW w:w="10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231F4" w:rsidRPr="00A231F4" w:rsidRDefault="00A231F4">
            <w:pPr>
              <w:jc w:val="right"/>
              <w:rPr>
                <w:rFonts w:cs="Arial"/>
                <w:lang w:eastAsia="sl-SI"/>
              </w:rPr>
            </w:pPr>
            <w:r w:rsidRPr="00A231F4">
              <w:rPr>
                <w:rFonts w:cs="Arial"/>
                <w:lang w:eastAsia="sl-SI"/>
              </w:rPr>
              <w:t>utež</w:t>
            </w:r>
          </w:p>
        </w:tc>
        <w:tc>
          <w:tcPr>
            <w:tcW w:w="10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231F4" w:rsidRPr="00A231F4" w:rsidRDefault="00A231F4" w:rsidP="006F72CD">
            <w:pPr>
              <w:jc w:val="right"/>
              <w:rPr>
                <w:rFonts w:cs="Arial"/>
                <w:lang w:eastAsia="sl-SI"/>
              </w:rPr>
            </w:pPr>
            <w:r w:rsidRPr="00A231F4">
              <w:rPr>
                <w:rFonts w:cs="Arial"/>
                <w:lang w:eastAsia="sl-SI"/>
              </w:rPr>
              <w:t>znesek €</w:t>
            </w:r>
          </w:p>
        </w:tc>
        <w:tc>
          <w:tcPr>
            <w:tcW w:w="100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231F4" w:rsidRPr="00A231F4" w:rsidRDefault="006F72CD" w:rsidP="007E778C">
            <w:pPr>
              <w:jc w:val="right"/>
              <w:rPr>
                <w:rFonts w:cs="Arial"/>
                <w:lang w:eastAsia="sl-SI"/>
              </w:rPr>
            </w:pPr>
            <w:r>
              <w:rPr>
                <w:rFonts w:cs="Arial"/>
                <w:lang w:eastAsia="sl-SI"/>
              </w:rPr>
              <w:t>znesek €</w:t>
            </w:r>
          </w:p>
        </w:tc>
      </w:tr>
      <w:tr w:rsidR="00A231F4" w:rsidRPr="00A231F4" w:rsidTr="00061279">
        <w:trPr>
          <w:trHeight w:val="120"/>
        </w:trPr>
        <w:tc>
          <w:tcPr>
            <w:tcW w:w="11590" w:type="dxa"/>
            <w:tcBorders>
              <w:top w:val="nil"/>
              <w:left w:val="single" w:sz="8" w:space="0" w:color="auto"/>
              <w:bottom w:val="single" w:sz="8" w:space="0" w:color="auto"/>
              <w:right w:val="single" w:sz="8" w:space="0" w:color="auto"/>
            </w:tcBorders>
            <w:shd w:val="clear" w:color="auto" w:fill="DAEEF3" w:themeFill="accent5" w:themeFillTint="33"/>
            <w:tcMar>
              <w:top w:w="0" w:type="dxa"/>
              <w:left w:w="70" w:type="dxa"/>
              <w:bottom w:w="0" w:type="dxa"/>
              <w:right w:w="70" w:type="dxa"/>
            </w:tcMar>
            <w:vAlign w:val="bottom"/>
            <w:hideMark/>
          </w:tcPr>
          <w:p w:rsidR="00A231F4" w:rsidRPr="00A231F4" w:rsidRDefault="00A231F4">
            <w:pPr>
              <w:jc w:val="right"/>
              <w:rPr>
                <w:rFonts w:cs="Arial"/>
                <w:lang w:eastAsia="sl-SI"/>
              </w:rPr>
            </w:pPr>
            <w:r w:rsidRPr="00A231F4">
              <w:rPr>
                <w:rFonts w:cs="Arial"/>
                <w:lang w:eastAsia="sl-SI"/>
              </w:rPr>
              <w:t>prvo odraslo osebo ali samsko osebo ali odraslo osebo, ki je v institucionalnem varstvu</w:t>
            </w:r>
          </w:p>
        </w:tc>
        <w:tc>
          <w:tcPr>
            <w:tcW w:w="1032" w:type="dxa"/>
            <w:tcBorders>
              <w:top w:val="nil"/>
              <w:left w:val="nil"/>
              <w:bottom w:val="single" w:sz="8" w:space="0" w:color="auto"/>
              <w:right w:val="single" w:sz="8" w:space="0" w:color="auto"/>
            </w:tcBorders>
            <w:shd w:val="clear" w:color="auto" w:fill="DAEEF3" w:themeFill="accent5" w:themeFillTint="33"/>
            <w:tcMar>
              <w:top w:w="0" w:type="dxa"/>
              <w:left w:w="70" w:type="dxa"/>
              <w:bottom w:w="0" w:type="dxa"/>
              <w:right w:w="70" w:type="dxa"/>
            </w:tcMar>
            <w:vAlign w:val="bottom"/>
            <w:hideMark/>
          </w:tcPr>
          <w:p w:rsidR="00A231F4" w:rsidRPr="00A231F4" w:rsidRDefault="00A231F4">
            <w:pPr>
              <w:jc w:val="right"/>
              <w:rPr>
                <w:rFonts w:cs="Arial"/>
                <w:lang w:eastAsia="sl-SI"/>
              </w:rPr>
            </w:pPr>
            <w:r w:rsidRPr="00A231F4">
              <w:rPr>
                <w:rFonts w:cs="Arial"/>
                <w:lang w:eastAsia="sl-SI"/>
              </w:rPr>
              <w:t>1</w:t>
            </w:r>
          </w:p>
        </w:tc>
        <w:tc>
          <w:tcPr>
            <w:tcW w:w="1032" w:type="dxa"/>
            <w:tcBorders>
              <w:top w:val="nil"/>
              <w:left w:val="nil"/>
              <w:bottom w:val="single" w:sz="8" w:space="0" w:color="auto"/>
              <w:right w:val="single" w:sz="8" w:space="0" w:color="auto"/>
            </w:tcBorders>
            <w:shd w:val="clear" w:color="auto" w:fill="DAEEF3" w:themeFill="accent5" w:themeFillTint="33"/>
            <w:tcMar>
              <w:top w:w="0" w:type="dxa"/>
              <w:left w:w="70" w:type="dxa"/>
              <w:bottom w:w="0" w:type="dxa"/>
              <w:right w:w="70" w:type="dxa"/>
            </w:tcMar>
            <w:vAlign w:val="bottom"/>
            <w:hideMark/>
          </w:tcPr>
          <w:p w:rsidR="00A231F4" w:rsidRPr="00A231F4" w:rsidRDefault="00A231F4">
            <w:pPr>
              <w:jc w:val="right"/>
              <w:rPr>
                <w:rFonts w:cs="Arial"/>
                <w:lang w:eastAsia="sl-SI"/>
              </w:rPr>
            </w:pPr>
            <w:r w:rsidRPr="00A231F4">
              <w:rPr>
                <w:rFonts w:cs="Arial"/>
                <w:lang w:eastAsia="sl-SI"/>
              </w:rPr>
              <w:t>288,81</w:t>
            </w:r>
          </w:p>
        </w:tc>
        <w:tc>
          <w:tcPr>
            <w:tcW w:w="1002" w:type="dxa"/>
            <w:tcBorders>
              <w:top w:val="nil"/>
              <w:left w:val="nil"/>
              <w:bottom w:val="single" w:sz="8" w:space="0" w:color="auto"/>
              <w:right w:val="single" w:sz="8" w:space="0" w:color="auto"/>
            </w:tcBorders>
            <w:shd w:val="clear" w:color="auto" w:fill="DAEEF3" w:themeFill="accent5" w:themeFillTint="33"/>
            <w:noWrap/>
            <w:tcMar>
              <w:top w:w="0" w:type="dxa"/>
              <w:left w:w="70" w:type="dxa"/>
              <w:bottom w:w="0" w:type="dxa"/>
              <w:right w:w="70" w:type="dxa"/>
            </w:tcMar>
            <w:vAlign w:val="bottom"/>
            <w:hideMark/>
          </w:tcPr>
          <w:p w:rsidR="00A231F4" w:rsidRPr="00A231F4" w:rsidRDefault="00A231F4">
            <w:pPr>
              <w:jc w:val="right"/>
              <w:rPr>
                <w:b/>
                <w:bCs/>
                <w:lang w:eastAsia="sl-SI"/>
              </w:rPr>
            </w:pPr>
            <w:r w:rsidRPr="00A231F4">
              <w:rPr>
                <w:b/>
                <w:bCs/>
                <w:lang w:eastAsia="sl-SI"/>
              </w:rPr>
              <w:t>433,215</w:t>
            </w:r>
          </w:p>
        </w:tc>
      </w:tr>
      <w:tr w:rsidR="00A231F4" w:rsidRPr="00A231F4" w:rsidTr="007E71D0">
        <w:tc>
          <w:tcPr>
            <w:tcW w:w="11590" w:type="dxa"/>
            <w:tcBorders>
              <w:top w:val="nil"/>
              <w:left w:val="single" w:sz="8" w:space="0" w:color="auto"/>
              <w:bottom w:val="single" w:sz="8" w:space="0" w:color="auto"/>
              <w:right w:val="single" w:sz="8" w:space="0" w:color="auto"/>
            </w:tcBorders>
            <w:shd w:val="clear" w:color="auto" w:fill="DAEEF3" w:themeFill="accent5" w:themeFillTint="33"/>
            <w:tcMar>
              <w:top w:w="0" w:type="dxa"/>
              <w:left w:w="70" w:type="dxa"/>
              <w:bottom w:w="0" w:type="dxa"/>
              <w:right w:w="70" w:type="dxa"/>
            </w:tcMar>
            <w:vAlign w:val="bottom"/>
            <w:hideMark/>
          </w:tcPr>
          <w:p w:rsidR="00A231F4" w:rsidRPr="00A231F4" w:rsidRDefault="00A231F4">
            <w:pPr>
              <w:jc w:val="right"/>
              <w:rPr>
                <w:rFonts w:cs="Arial"/>
                <w:lang w:eastAsia="sl-SI"/>
              </w:rPr>
            </w:pPr>
            <w:proofErr w:type="gramStart"/>
            <w:r w:rsidRPr="00A231F4">
              <w:rPr>
                <w:rFonts w:cs="Arial"/>
                <w:lang w:eastAsia="sl-SI"/>
              </w:rPr>
              <w:t>prvo</w:t>
            </w:r>
            <w:proofErr w:type="gramEnd"/>
            <w:r w:rsidRPr="00A231F4">
              <w:rPr>
                <w:rFonts w:cs="Arial"/>
                <w:lang w:eastAsia="sl-SI"/>
              </w:rPr>
              <w:t xml:space="preserve"> odraslo osebo ali samsko osebo, ki je delovno aktivna v obsegu od 60 do 128 ur na mesec**</w:t>
            </w:r>
          </w:p>
        </w:tc>
        <w:tc>
          <w:tcPr>
            <w:tcW w:w="1032" w:type="dxa"/>
            <w:tcBorders>
              <w:top w:val="nil"/>
              <w:left w:val="nil"/>
              <w:bottom w:val="single" w:sz="8" w:space="0" w:color="auto"/>
              <w:right w:val="single" w:sz="8" w:space="0" w:color="auto"/>
            </w:tcBorders>
            <w:shd w:val="clear" w:color="auto" w:fill="DAEEF3" w:themeFill="accent5" w:themeFillTint="33"/>
            <w:tcMar>
              <w:top w:w="0" w:type="dxa"/>
              <w:left w:w="70" w:type="dxa"/>
              <w:bottom w:w="0" w:type="dxa"/>
              <w:right w:w="70" w:type="dxa"/>
            </w:tcMar>
            <w:vAlign w:val="bottom"/>
            <w:hideMark/>
          </w:tcPr>
          <w:p w:rsidR="00A231F4" w:rsidRPr="00A231F4" w:rsidRDefault="00A231F4">
            <w:pPr>
              <w:jc w:val="right"/>
              <w:rPr>
                <w:rFonts w:cs="Arial"/>
                <w:lang w:eastAsia="sl-SI"/>
              </w:rPr>
            </w:pPr>
            <w:r w:rsidRPr="00A231F4">
              <w:rPr>
                <w:rFonts w:cs="Arial"/>
                <w:lang w:eastAsia="sl-SI"/>
              </w:rPr>
              <w:t>1,28</w:t>
            </w:r>
          </w:p>
        </w:tc>
        <w:tc>
          <w:tcPr>
            <w:tcW w:w="1032" w:type="dxa"/>
            <w:tcBorders>
              <w:top w:val="nil"/>
              <w:left w:val="nil"/>
              <w:bottom w:val="single" w:sz="8" w:space="0" w:color="auto"/>
              <w:right w:val="single" w:sz="8" w:space="0" w:color="auto"/>
            </w:tcBorders>
            <w:shd w:val="clear" w:color="auto" w:fill="DAEEF3" w:themeFill="accent5" w:themeFillTint="33"/>
            <w:tcMar>
              <w:top w:w="0" w:type="dxa"/>
              <w:left w:w="70" w:type="dxa"/>
              <w:bottom w:w="0" w:type="dxa"/>
              <w:right w:w="70" w:type="dxa"/>
            </w:tcMar>
            <w:vAlign w:val="bottom"/>
            <w:hideMark/>
          </w:tcPr>
          <w:p w:rsidR="00A231F4" w:rsidRPr="00A231F4" w:rsidRDefault="00A231F4">
            <w:pPr>
              <w:jc w:val="right"/>
              <w:rPr>
                <w:rFonts w:cs="Arial"/>
                <w:lang w:eastAsia="sl-SI"/>
              </w:rPr>
            </w:pPr>
            <w:r w:rsidRPr="00A231F4">
              <w:rPr>
                <w:rFonts w:cs="Arial"/>
                <w:lang w:eastAsia="sl-SI"/>
              </w:rPr>
              <w:t>349,67</w:t>
            </w:r>
          </w:p>
        </w:tc>
        <w:tc>
          <w:tcPr>
            <w:tcW w:w="1002" w:type="dxa"/>
            <w:tcBorders>
              <w:top w:val="nil"/>
              <w:left w:val="nil"/>
              <w:bottom w:val="single" w:sz="8" w:space="0" w:color="auto"/>
              <w:right w:val="single" w:sz="8" w:space="0" w:color="auto"/>
            </w:tcBorders>
            <w:shd w:val="clear" w:color="auto" w:fill="DAEEF3" w:themeFill="accent5" w:themeFillTint="33"/>
            <w:noWrap/>
            <w:tcMar>
              <w:top w:w="0" w:type="dxa"/>
              <w:left w:w="70" w:type="dxa"/>
              <w:bottom w:w="0" w:type="dxa"/>
              <w:right w:w="70" w:type="dxa"/>
            </w:tcMar>
            <w:vAlign w:val="bottom"/>
            <w:hideMark/>
          </w:tcPr>
          <w:p w:rsidR="00A231F4" w:rsidRPr="00A231F4" w:rsidRDefault="00A231F4">
            <w:pPr>
              <w:jc w:val="right"/>
              <w:rPr>
                <w:b/>
                <w:bCs/>
                <w:lang w:eastAsia="sl-SI"/>
              </w:rPr>
            </w:pPr>
            <w:r w:rsidRPr="00A231F4">
              <w:rPr>
                <w:b/>
                <w:bCs/>
                <w:lang w:eastAsia="sl-SI"/>
              </w:rPr>
              <w:t>524,505</w:t>
            </w:r>
          </w:p>
        </w:tc>
      </w:tr>
      <w:tr w:rsidR="00A231F4" w:rsidRPr="00A231F4" w:rsidTr="007E71D0">
        <w:tc>
          <w:tcPr>
            <w:tcW w:w="11590" w:type="dxa"/>
            <w:tcBorders>
              <w:top w:val="nil"/>
              <w:left w:val="single" w:sz="8" w:space="0" w:color="auto"/>
              <w:bottom w:val="single" w:sz="8" w:space="0" w:color="auto"/>
              <w:right w:val="single" w:sz="8" w:space="0" w:color="auto"/>
            </w:tcBorders>
            <w:shd w:val="clear" w:color="auto" w:fill="DAEEF3" w:themeFill="accent5" w:themeFillTint="33"/>
            <w:tcMar>
              <w:top w:w="0" w:type="dxa"/>
              <w:left w:w="70" w:type="dxa"/>
              <w:bottom w:w="0" w:type="dxa"/>
              <w:right w:w="70" w:type="dxa"/>
            </w:tcMar>
            <w:vAlign w:val="bottom"/>
            <w:hideMark/>
          </w:tcPr>
          <w:p w:rsidR="00A231F4" w:rsidRPr="00A231F4" w:rsidRDefault="00A231F4">
            <w:pPr>
              <w:jc w:val="right"/>
              <w:rPr>
                <w:rFonts w:cs="Arial"/>
                <w:lang w:eastAsia="sl-SI"/>
              </w:rPr>
            </w:pPr>
            <w:r w:rsidRPr="00A231F4">
              <w:rPr>
                <w:rFonts w:cs="Arial"/>
                <w:lang w:eastAsia="sl-SI"/>
              </w:rPr>
              <w:t>prvo odraslo osebo oziroma samsko osebo, ki je delovno aktivna v obsegu več kot 128 ur na mesec</w:t>
            </w:r>
          </w:p>
        </w:tc>
        <w:tc>
          <w:tcPr>
            <w:tcW w:w="1032" w:type="dxa"/>
            <w:tcBorders>
              <w:top w:val="nil"/>
              <w:left w:val="nil"/>
              <w:bottom w:val="single" w:sz="8" w:space="0" w:color="auto"/>
              <w:right w:val="single" w:sz="8" w:space="0" w:color="auto"/>
            </w:tcBorders>
            <w:shd w:val="clear" w:color="auto" w:fill="DAEEF3" w:themeFill="accent5" w:themeFillTint="33"/>
            <w:tcMar>
              <w:top w:w="0" w:type="dxa"/>
              <w:left w:w="70" w:type="dxa"/>
              <w:bottom w:w="0" w:type="dxa"/>
              <w:right w:w="70" w:type="dxa"/>
            </w:tcMar>
            <w:vAlign w:val="bottom"/>
            <w:hideMark/>
          </w:tcPr>
          <w:p w:rsidR="00A231F4" w:rsidRPr="00A231F4" w:rsidRDefault="00A231F4">
            <w:pPr>
              <w:jc w:val="right"/>
              <w:rPr>
                <w:rFonts w:cs="Arial"/>
                <w:lang w:eastAsia="sl-SI"/>
              </w:rPr>
            </w:pPr>
            <w:r w:rsidRPr="00A231F4">
              <w:rPr>
                <w:rFonts w:cs="Arial"/>
                <w:lang w:eastAsia="sl-SI"/>
              </w:rPr>
              <w:t>1,56</w:t>
            </w:r>
          </w:p>
        </w:tc>
        <w:tc>
          <w:tcPr>
            <w:tcW w:w="1032" w:type="dxa"/>
            <w:tcBorders>
              <w:top w:val="nil"/>
              <w:left w:val="nil"/>
              <w:bottom w:val="single" w:sz="8" w:space="0" w:color="auto"/>
              <w:right w:val="single" w:sz="8" w:space="0" w:color="auto"/>
            </w:tcBorders>
            <w:shd w:val="clear" w:color="auto" w:fill="DAEEF3" w:themeFill="accent5" w:themeFillTint="33"/>
            <w:tcMar>
              <w:top w:w="0" w:type="dxa"/>
              <w:left w:w="70" w:type="dxa"/>
              <w:bottom w:w="0" w:type="dxa"/>
              <w:right w:w="70" w:type="dxa"/>
            </w:tcMar>
            <w:vAlign w:val="bottom"/>
            <w:hideMark/>
          </w:tcPr>
          <w:p w:rsidR="00A231F4" w:rsidRPr="00A231F4" w:rsidRDefault="00A231F4">
            <w:pPr>
              <w:jc w:val="right"/>
              <w:rPr>
                <w:rFonts w:cs="Arial"/>
                <w:lang w:eastAsia="sl-SI"/>
              </w:rPr>
            </w:pPr>
            <w:r w:rsidRPr="00A231F4">
              <w:rPr>
                <w:rFonts w:cs="Arial"/>
                <w:lang w:eastAsia="sl-SI"/>
              </w:rPr>
              <w:t>450,54</w:t>
            </w:r>
          </w:p>
        </w:tc>
        <w:tc>
          <w:tcPr>
            <w:tcW w:w="1002" w:type="dxa"/>
            <w:tcBorders>
              <w:top w:val="nil"/>
              <w:left w:val="nil"/>
              <w:bottom w:val="single" w:sz="8" w:space="0" w:color="auto"/>
              <w:right w:val="single" w:sz="8" w:space="0" w:color="auto"/>
            </w:tcBorders>
            <w:shd w:val="clear" w:color="auto" w:fill="DAEEF3" w:themeFill="accent5" w:themeFillTint="33"/>
            <w:noWrap/>
            <w:tcMar>
              <w:top w:w="0" w:type="dxa"/>
              <w:left w:w="70" w:type="dxa"/>
              <w:bottom w:w="0" w:type="dxa"/>
              <w:right w:w="70" w:type="dxa"/>
            </w:tcMar>
            <w:vAlign w:val="bottom"/>
            <w:hideMark/>
          </w:tcPr>
          <w:p w:rsidR="00A231F4" w:rsidRPr="00A231F4" w:rsidRDefault="00A231F4">
            <w:pPr>
              <w:jc w:val="right"/>
              <w:rPr>
                <w:b/>
                <w:bCs/>
                <w:lang w:eastAsia="sl-SI"/>
              </w:rPr>
            </w:pPr>
            <w:r w:rsidRPr="00A231F4">
              <w:rPr>
                <w:b/>
                <w:bCs/>
                <w:lang w:eastAsia="sl-SI"/>
              </w:rPr>
              <w:t>675,81</w:t>
            </w:r>
          </w:p>
        </w:tc>
      </w:tr>
      <w:tr w:rsidR="00A231F4" w:rsidRPr="00A231F4" w:rsidTr="007E71D0">
        <w:tc>
          <w:tcPr>
            <w:tcW w:w="11590" w:type="dxa"/>
            <w:tcBorders>
              <w:top w:val="nil"/>
              <w:left w:val="single" w:sz="8" w:space="0" w:color="auto"/>
              <w:bottom w:val="single" w:sz="8" w:space="0" w:color="auto"/>
              <w:right w:val="single" w:sz="8" w:space="0" w:color="auto"/>
            </w:tcBorders>
            <w:shd w:val="clear" w:color="auto" w:fill="DAEEF3" w:themeFill="accent5" w:themeFillTint="33"/>
            <w:tcMar>
              <w:top w:w="0" w:type="dxa"/>
              <w:left w:w="70" w:type="dxa"/>
              <w:bottom w:w="0" w:type="dxa"/>
              <w:right w:w="70" w:type="dxa"/>
            </w:tcMar>
            <w:vAlign w:val="bottom"/>
            <w:hideMark/>
          </w:tcPr>
          <w:p w:rsidR="00A231F4" w:rsidRPr="00A231F4" w:rsidRDefault="00A231F4">
            <w:pPr>
              <w:jc w:val="right"/>
              <w:rPr>
                <w:rFonts w:cs="Arial"/>
                <w:lang w:eastAsia="sl-SI"/>
              </w:rPr>
            </w:pPr>
            <w:r w:rsidRPr="00A231F4">
              <w:rPr>
                <w:rFonts w:cs="Arial"/>
                <w:lang w:eastAsia="sl-SI"/>
              </w:rPr>
              <w:t>samsko osebo med dopolnjenim 18. in dopolnjenim 26. letom starosti, prijavljeno pri zavodu za zaposlovanje v evidenci brezposelnih oseb oziroma v evidenci iskalcev zaposlitve, ki ima prijavljeno stalno prebivališče na istem naslovu kot starši ali dejansko prebiva z njimi ter imajo starši dovolj lastnih sredstev za preživljanje</w:t>
            </w:r>
          </w:p>
        </w:tc>
        <w:tc>
          <w:tcPr>
            <w:tcW w:w="1032" w:type="dxa"/>
            <w:tcBorders>
              <w:top w:val="nil"/>
              <w:left w:val="nil"/>
              <w:bottom w:val="single" w:sz="8" w:space="0" w:color="auto"/>
              <w:right w:val="single" w:sz="8" w:space="0" w:color="auto"/>
            </w:tcBorders>
            <w:shd w:val="clear" w:color="auto" w:fill="DAEEF3" w:themeFill="accent5" w:themeFillTint="33"/>
            <w:tcMar>
              <w:top w:w="0" w:type="dxa"/>
              <w:left w:w="70" w:type="dxa"/>
              <w:bottom w:w="0" w:type="dxa"/>
              <w:right w:w="70" w:type="dxa"/>
            </w:tcMar>
            <w:vAlign w:val="bottom"/>
            <w:hideMark/>
          </w:tcPr>
          <w:p w:rsidR="00A231F4" w:rsidRPr="00A231F4" w:rsidRDefault="00A231F4">
            <w:pPr>
              <w:jc w:val="right"/>
              <w:rPr>
                <w:rFonts w:cs="Arial"/>
                <w:lang w:eastAsia="sl-SI"/>
              </w:rPr>
            </w:pPr>
            <w:r w:rsidRPr="00A231F4">
              <w:rPr>
                <w:rFonts w:cs="Arial"/>
                <w:lang w:eastAsia="sl-SI"/>
              </w:rPr>
              <w:t>0,7</w:t>
            </w:r>
          </w:p>
        </w:tc>
        <w:tc>
          <w:tcPr>
            <w:tcW w:w="1032" w:type="dxa"/>
            <w:tcBorders>
              <w:top w:val="nil"/>
              <w:left w:val="nil"/>
              <w:bottom w:val="single" w:sz="8" w:space="0" w:color="auto"/>
              <w:right w:val="single" w:sz="8" w:space="0" w:color="auto"/>
            </w:tcBorders>
            <w:shd w:val="clear" w:color="auto" w:fill="DAEEF3" w:themeFill="accent5" w:themeFillTint="33"/>
            <w:tcMar>
              <w:top w:w="0" w:type="dxa"/>
              <w:left w:w="70" w:type="dxa"/>
              <w:bottom w:w="0" w:type="dxa"/>
              <w:right w:w="70" w:type="dxa"/>
            </w:tcMar>
            <w:vAlign w:val="bottom"/>
            <w:hideMark/>
          </w:tcPr>
          <w:p w:rsidR="00A231F4" w:rsidRPr="00A231F4" w:rsidRDefault="00A231F4">
            <w:pPr>
              <w:jc w:val="right"/>
              <w:rPr>
                <w:rFonts w:cs="Arial"/>
                <w:lang w:eastAsia="sl-SI"/>
              </w:rPr>
            </w:pPr>
            <w:r w:rsidRPr="00A231F4">
              <w:rPr>
                <w:rFonts w:cs="Arial"/>
                <w:lang w:eastAsia="sl-SI"/>
              </w:rPr>
              <w:t>202,16</w:t>
            </w:r>
          </w:p>
        </w:tc>
        <w:tc>
          <w:tcPr>
            <w:tcW w:w="1002" w:type="dxa"/>
            <w:tcBorders>
              <w:top w:val="nil"/>
              <w:left w:val="nil"/>
              <w:bottom w:val="single" w:sz="8" w:space="0" w:color="auto"/>
              <w:right w:val="single" w:sz="8" w:space="0" w:color="auto"/>
            </w:tcBorders>
            <w:shd w:val="clear" w:color="auto" w:fill="DAEEF3" w:themeFill="accent5" w:themeFillTint="33"/>
            <w:noWrap/>
            <w:tcMar>
              <w:top w:w="0" w:type="dxa"/>
              <w:left w:w="70" w:type="dxa"/>
              <w:bottom w:w="0" w:type="dxa"/>
              <w:right w:w="70" w:type="dxa"/>
            </w:tcMar>
            <w:vAlign w:val="bottom"/>
            <w:hideMark/>
          </w:tcPr>
          <w:p w:rsidR="00A231F4" w:rsidRPr="00A231F4" w:rsidRDefault="00A231F4">
            <w:pPr>
              <w:jc w:val="right"/>
              <w:rPr>
                <w:b/>
                <w:bCs/>
                <w:lang w:eastAsia="sl-SI"/>
              </w:rPr>
            </w:pPr>
            <w:r w:rsidRPr="00A231F4">
              <w:rPr>
                <w:b/>
                <w:bCs/>
                <w:lang w:eastAsia="sl-SI"/>
              </w:rPr>
              <w:t>303,24</w:t>
            </w:r>
          </w:p>
        </w:tc>
      </w:tr>
      <w:tr w:rsidR="00A231F4" w:rsidRPr="00A231F4" w:rsidTr="007E71D0">
        <w:tc>
          <w:tcPr>
            <w:tcW w:w="11590" w:type="dxa"/>
            <w:tcBorders>
              <w:top w:val="nil"/>
              <w:left w:val="single" w:sz="8" w:space="0" w:color="auto"/>
              <w:bottom w:val="single" w:sz="8" w:space="0" w:color="auto"/>
              <w:right w:val="single" w:sz="8" w:space="0" w:color="auto"/>
            </w:tcBorders>
            <w:shd w:val="clear" w:color="auto" w:fill="DAEEF3" w:themeFill="accent5" w:themeFillTint="33"/>
            <w:tcMar>
              <w:top w:w="0" w:type="dxa"/>
              <w:left w:w="70" w:type="dxa"/>
              <w:bottom w:w="0" w:type="dxa"/>
              <w:right w:w="70" w:type="dxa"/>
            </w:tcMar>
            <w:vAlign w:val="bottom"/>
            <w:hideMark/>
          </w:tcPr>
          <w:p w:rsidR="00A231F4" w:rsidRPr="00A231F4" w:rsidRDefault="00A231F4">
            <w:pPr>
              <w:jc w:val="right"/>
              <w:rPr>
                <w:rFonts w:cs="Arial"/>
                <w:lang w:eastAsia="sl-SI"/>
              </w:rPr>
            </w:pPr>
            <w:r w:rsidRPr="00A231F4">
              <w:rPr>
                <w:rFonts w:cs="Arial"/>
                <w:lang w:eastAsia="sl-SI"/>
              </w:rPr>
              <w:t>samsko osebo, ki je trajno nezaposljiva ali trajno nezmožna za delo ali je starejša od 63 let (ženska) oziroma 65 let (moški), ki ima prijavljeno stalno ali začasno prebivališče na istem naslovu kot osebe, ki niso družinski člani po tem zakonu in imajo dovolj lastnih sredstev za preživljanje, oziroma dejansko prebiva z njimi</w:t>
            </w:r>
          </w:p>
        </w:tc>
        <w:tc>
          <w:tcPr>
            <w:tcW w:w="1032" w:type="dxa"/>
            <w:tcBorders>
              <w:top w:val="nil"/>
              <w:left w:val="nil"/>
              <w:bottom w:val="single" w:sz="8" w:space="0" w:color="auto"/>
              <w:right w:val="single" w:sz="8" w:space="0" w:color="auto"/>
            </w:tcBorders>
            <w:shd w:val="clear" w:color="auto" w:fill="DAEEF3" w:themeFill="accent5" w:themeFillTint="33"/>
            <w:tcMar>
              <w:top w:w="0" w:type="dxa"/>
              <w:left w:w="70" w:type="dxa"/>
              <w:bottom w:w="0" w:type="dxa"/>
              <w:right w:w="70" w:type="dxa"/>
            </w:tcMar>
            <w:vAlign w:val="bottom"/>
            <w:hideMark/>
          </w:tcPr>
          <w:p w:rsidR="00A231F4" w:rsidRPr="00A231F4" w:rsidRDefault="00A231F4">
            <w:pPr>
              <w:jc w:val="right"/>
              <w:rPr>
                <w:rFonts w:cs="Arial"/>
                <w:lang w:eastAsia="sl-SI"/>
              </w:rPr>
            </w:pPr>
            <w:r w:rsidRPr="00A231F4">
              <w:rPr>
                <w:rFonts w:cs="Arial"/>
                <w:lang w:eastAsia="sl-SI"/>
              </w:rPr>
              <w:t>0,76</w:t>
            </w:r>
          </w:p>
        </w:tc>
        <w:tc>
          <w:tcPr>
            <w:tcW w:w="1032" w:type="dxa"/>
            <w:tcBorders>
              <w:top w:val="nil"/>
              <w:left w:val="nil"/>
              <w:bottom w:val="single" w:sz="8" w:space="0" w:color="auto"/>
              <w:right w:val="single" w:sz="8" w:space="0" w:color="auto"/>
            </w:tcBorders>
            <w:shd w:val="clear" w:color="auto" w:fill="DAEEF3" w:themeFill="accent5" w:themeFillTint="33"/>
            <w:tcMar>
              <w:top w:w="0" w:type="dxa"/>
              <w:left w:w="70" w:type="dxa"/>
              <w:bottom w:w="0" w:type="dxa"/>
              <w:right w:w="70" w:type="dxa"/>
            </w:tcMar>
            <w:vAlign w:val="bottom"/>
            <w:hideMark/>
          </w:tcPr>
          <w:p w:rsidR="00A231F4" w:rsidRPr="00A231F4" w:rsidRDefault="00A231F4">
            <w:pPr>
              <w:jc w:val="right"/>
              <w:rPr>
                <w:rFonts w:cs="Arial"/>
                <w:lang w:eastAsia="sl-SI"/>
              </w:rPr>
            </w:pPr>
            <w:r w:rsidRPr="00A231F4">
              <w:rPr>
                <w:rFonts w:cs="Arial"/>
                <w:lang w:eastAsia="sl-SI"/>
              </w:rPr>
              <w:t>219,5</w:t>
            </w:r>
          </w:p>
        </w:tc>
        <w:tc>
          <w:tcPr>
            <w:tcW w:w="1002" w:type="dxa"/>
            <w:tcBorders>
              <w:top w:val="nil"/>
              <w:left w:val="nil"/>
              <w:bottom w:val="single" w:sz="8" w:space="0" w:color="auto"/>
              <w:right w:val="single" w:sz="8" w:space="0" w:color="auto"/>
            </w:tcBorders>
            <w:shd w:val="clear" w:color="auto" w:fill="DAEEF3" w:themeFill="accent5" w:themeFillTint="33"/>
            <w:noWrap/>
            <w:tcMar>
              <w:top w:w="0" w:type="dxa"/>
              <w:left w:w="70" w:type="dxa"/>
              <w:bottom w:w="0" w:type="dxa"/>
              <w:right w:w="70" w:type="dxa"/>
            </w:tcMar>
            <w:vAlign w:val="bottom"/>
            <w:hideMark/>
          </w:tcPr>
          <w:p w:rsidR="00A231F4" w:rsidRPr="00A231F4" w:rsidRDefault="00A231F4">
            <w:pPr>
              <w:jc w:val="right"/>
              <w:rPr>
                <w:b/>
                <w:bCs/>
                <w:lang w:eastAsia="sl-SI"/>
              </w:rPr>
            </w:pPr>
            <w:r w:rsidRPr="00A231F4">
              <w:rPr>
                <w:b/>
                <w:bCs/>
                <w:lang w:eastAsia="sl-SI"/>
              </w:rPr>
              <w:t>329,25</w:t>
            </w:r>
          </w:p>
        </w:tc>
      </w:tr>
      <w:tr w:rsidR="00A231F4" w:rsidRPr="00A231F4" w:rsidTr="007E71D0">
        <w:tc>
          <w:tcPr>
            <w:tcW w:w="11590" w:type="dxa"/>
            <w:tcBorders>
              <w:top w:val="nil"/>
              <w:left w:val="single" w:sz="8" w:space="0" w:color="auto"/>
              <w:bottom w:val="single" w:sz="8" w:space="0" w:color="auto"/>
              <w:right w:val="single" w:sz="8" w:space="0" w:color="auto"/>
            </w:tcBorders>
            <w:shd w:val="clear" w:color="auto" w:fill="C6D9F1" w:themeFill="text2" w:themeFillTint="33"/>
            <w:tcMar>
              <w:top w:w="0" w:type="dxa"/>
              <w:left w:w="70" w:type="dxa"/>
              <w:bottom w:w="0" w:type="dxa"/>
              <w:right w:w="70" w:type="dxa"/>
            </w:tcMar>
            <w:vAlign w:val="bottom"/>
            <w:hideMark/>
          </w:tcPr>
          <w:p w:rsidR="00A231F4" w:rsidRPr="00A231F4" w:rsidRDefault="00A231F4">
            <w:pPr>
              <w:jc w:val="right"/>
              <w:rPr>
                <w:rFonts w:cs="Arial"/>
                <w:lang w:eastAsia="sl-SI"/>
              </w:rPr>
            </w:pPr>
            <w:r w:rsidRPr="00A231F4">
              <w:rPr>
                <w:rFonts w:cs="Arial"/>
                <w:lang w:eastAsia="sl-SI"/>
              </w:rPr>
              <w:t>vsako naslednjo odraslo osebo</w:t>
            </w:r>
          </w:p>
        </w:tc>
        <w:tc>
          <w:tcPr>
            <w:tcW w:w="1032" w:type="dxa"/>
            <w:tcBorders>
              <w:top w:val="nil"/>
              <w:left w:val="nil"/>
              <w:bottom w:val="single" w:sz="8" w:space="0" w:color="auto"/>
              <w:right w:val="single" w:sz="8" w:space="0" w:color="auto"/>
            </w:tcBorders>
            <w:shd w:val="clear" w:color="auto" w:fill="C6D9F1" w:themeFill="text2" w:themeFillTint="33"/>
            <w:tcMar>
              <w:top w:w="0" w:type="dxa"/>
              <w:left w:w="70" w:type="dxa"/>
              <w:bottom w:w="0" w:type="dxa"/>
              <w:right w:w="70" w:type="dxa"/>
            </w:tcMar>
            <w:vAlign w:val="bottom"/>
            <w:hideMark/>
          </w:tcPr>
          <w:p w:rsidR="00A231F4" w:rsidRPr="00A231F4" w:rsidRDefault="00A231F4">
            <w:pPr>
              <w:jc w:val="right"/>
              <w:rPr>
                <w:rFonts w:cs="Arial"/>
                <w:lang w:eastAsia="sl-SI"/>
              </w:rPr>
            </w:pPr>
            <w:r w:rsidRPr="00A231F4">
              <w:rPr>
                <w:rFonts w:cs="Arial"/>
                <w:lang w:eastAsia="sl-SI"/>
              </w:rPr>
              <w:t>0,57</w:t>
            </w:r>
          </w:p>
        </w:tc>
        <w:tc>
          <w:tcPr>
            <w:tcW w:w="1032" w:type="dxa"/>
            <w:tcBorders>
              <w:top w:val="nil"/>
              <w:left w:val="nil"/>
              <w:bottom w:val="single" w:sz="8" w:space="0" w:color="auto"/>
              <w:right w:val="single" w:sz="8" w:space="0" w:color="auto"/>
            </w:tcBorders>
            <w:shd w:val="clear" w:color="auto" w:fill="C6D9F1" w:themeFill="text2" w:themeFillTint="33"/>
            <w:tcMar>
              <w:top w:w="0" w:type="dxa"/>
              <w:left w:w="70" w:type="dxa"/>
              <w:bottom w:w="0" w:type="dxa"/>
              <w:right w:w="70" w:type="dxa"/>
            </w:tcMar>
            <w:vAlign w:val="bottom"/>
            <w:hideMark/>
          </w:tcPr>
          <w:p w:rsidR="00A231F4" w:rsidRPr="00A231F4" w:rsidRDefault="00A231F4">
            <w:pPr>
              <w:jc w:val="right"/>
              <w:rPr>
                <w:rFonts w:cs="Arial"/>
                <w:lang w:eastAsia="sl-SI"/>
              </w:rPr>
            </w:pPr>
            <w:r w:rsidRPr="00A231F4">
              <w:rPr>
                <w:rFonts w:cs="Arial"/>
                <w:lang w:eastAsia="sl-SI"/>
              </w:rPr>
              <w:t>164,62</w:t>
            </w:r>
          </w:p>
        </w:tc>
        <w:tc>
          <w:tcPr>
            <w:tcW w:w="1002" w:type="dxa"/>
            <w:tcBorders>
              <w:top w:val="nil"/>
              <w:left w:val="nil"/>
              <w:bottom w:val="single" w:sz="8" w:space="0" w:color="auto"/>
              <w:right w:val="single" w:sz="8" w:space="0" w:color="auto"/>
            </w:tcBorders>
            <w:shd w:val="clear" w:color="auto" w:fill="C6D9F1" w:themeFill="text2" w:themeFillTint="33"/>
            <w:noWrap/>
            <w:tcMar>
              <w:top w:w="0" w:type="dxa"/>
              <w:left w:w="70" w:type="dxa"/>
              <w:bottom w:w="0" w:type="dxa"/>
              <w:right w:w="70" w:type="dxa"/>
            </w:tcMar>
            <w:vAlign w:val="bottom"/>
            <w:hideMark/>
          </w:tcPr>
          <w:p w:rsidR="00A231F4" w:rsidRPr="00A231F4" w:rsidRDefault="00A231F4">
            <w:pPr>
              <w:jc w:val="right"/>
              <w:rPr>
                <w:b/>
                <w:bCs/>
                <w:lang w:eastAsia="sl-SI"/>
              </w:rPr>
            </w:pPr>
            <w:r w:rsidRPr="00A231F4">
              <w:rPr>
                <w:b/>
                <w:bCs/>
                <w:lang w:eastAsia="sl-SI"/>
              </w:rPr>
              <w:t>246,93</w:t>
            </w:r>
          </w:p>
        </w:tc>
      </w:tr>
      <w:tr w:rsidR="00A231F4" w:rsidRPr="00A231F4" w:rsidTr="007E71D0">
        <w:tc>
          <w:tcPr>
            <w:tcW w:w="11590" w:type="dxa"/>
            <w:tcBorders>
              <w:top w:val="nil"/>
              <w:left w:val="single" w:sz="8" w:space="0" w:color="auto"/>
              <w:bottom w:val="single" w:sz="8" w:space="0" w:color="auto"/>
              <w:right w:val="single" w:sz="8" w:space="0" w:color="auto"/>
            </w:tcBorders>
            <w:shd w:val="clear" w:color="auto" w:fill="C6D9F1" w:themeFill="text2" w:themeFillTint="33"/>
            <w:tcMar>
              <w:top w:w="0" w:type="dxa"/>
              <w:left w:w="70" w:type="dxa"/>
              <w:bottom w:w="0" w:type="dxa"/>
              <w:right w:w="70" w:type="dxa"/>
            </w:tcMar>
            <w:vAlign w:val="bottom"/>
            <w:hideMark/>
          </w:tcPr>
          <w:p w:rsidR="00A231F4" w:rsidRPr="00A231F4" w:rsidRDefault="00A231F4">
            <w:pPr>
              <w:jc w:val="right"/>
              <w:rPr>
                <w:rFonts w:cs="Arial"/>
                <w:lang w:eastAsia="sl-SI"/>
              </w:rPr>
            </w:pPr>
            <w:r w:rsidRPr="00A231F4">
              <w:rPr>
                <w:rFonts w:cs="Arial"/>
                <w:lang w:eastAsia="sl-SI"/>
              </w:rPr>
              <w:t>vsako naslednjo odraslo osebo, ki je delovno aktivna v obsegu več kot 128 ur na mesec</w:t>
            </w:r>
          </w:p>
        </w:tc>
        <w:tc>
          <w:tcPr>
            <w:tcW w:w="1032" w:type="dxa"/>
            <w:tcBorders>
              <w:top w:val="nil"/>
              <w:left w:val="nil"/>
              <w:bottom w:val="single" w:sz="8" w:space="0" w:color="auto"/>
              <w:right w:val="single" w:sz="8" w:space="0" w:color="auto"/>
            </w:tcBorders>
            <w:shd w:val="clear" w:color="auto" w:fill="C6D9F1" w:themeFill="text2" w:themeFillTint="33"/>
            <w:tcMar>
              <w:top w:w="0" w:type="dxa"/>
              <w:left w:w="70" w:type="dxa"/>
              <w:bottom w:w="0" w:type="dxa"/>
              <w:right w:w="70" w:type="dxa"/>
            </w:tcMar>
            <w:vAlign w:val="bottom"/>
            <w:hideMark/>
          </w:tcPr>
          <w:p w:rsidR="00A231F4" w:rsidRPr="00A231F4" w:rsidRDefault="00A231F4">
            <w:pPr>
              <w:jc w:val="right"/>
              <w:rPr>
                <w:rFonts w:cs="Arial"/>
                <w:lang w:eastAsia="sl-SI"/>
              </w:rPr>
            </w:pPr>
            <w:r w:rsidRPr="00A231F4">
              <w:rPr>
                <w:rFonts w:cs="Arial"/>
                <w:lang w:eastAsia="sl-SI"/>
              </w:rPr>
              <w:t>0,85</w:t>
            </w:r>
          </w:p>
        </w:tc>
        <w:tc>
          <w:tcPr>
            <w:tcW w:w="1032" w:type="dxa"/>
            <w:tcBorders>
              <w:top w:val="nil"/>
              <w:left w:val="nil"/>
              <w:bottom w:val="single" w:sz="8" w:space="0" w:color="auto"/>
              <w:right w:val="single" w:sz="8" w:space="0" w:color="auto"/>
            </w:tcBorders>
            <w:shd w:val="clear" w:color="auto" w:fill="C6D9F1" w:themeFill="text2" w:themeFillTint="33"/>
            <w:tcMar>
              <w:top w:w="0" w:type="dxa"/>
              <w:left w:w="70" w:type="dxa"/>
              <w:bottom w:w="0" w:type="dxa"/>
              <w:right w:w="70" w:type="dxa"/>
            </w:tcMar>
            <w:vAlign w:val="bottom"/>
            <w:hideMark/>
          </w:tcPr>
          <w:p w:rsidR="00A231F4" w:rsidRPr="00A231F4" w:rsidRDefault="00A231F4">
            <w:pPr>
              <w:jc w:val="right"/>
              <w:rPr>
                <w:rFonts w:cs="Arial"/>
                <w:lang w:eastAsia="sl-SI"/>
              </w:rPr>
            </w:pPr>
            <w:r w:rsidRPr="00A231F4">
              <w:rPr>
                <w:rFonts w:cs="Arial"/>
                <w:lang w:eastAsia="sl-SI"/>
              </w:rPr>
              <w:t>245,48</w:t>
            </w:r>
          </w:p>
        </w:tc>
        <w:tc>
          <w:tcPr>
            <w:tcW w:w="1002" w:type="dxa"/>
            <w:tcBorders>
              <w:top w:val="nil"/>
              <w:left w:val="nil"/>
              <w:bottom w:val="single" w:sz="8" w:space="0" w:color="auto"/>
              <w:right w:val="single" w:sz="8" w:space="0" w:color="auto"/>
            </w:tcBorders>
            <w:shd w:val="clear" w:color="auto" w:fill="C6D9F1" w:themeFill="text2" w:themeFillTint="33"/>
            <w:noWrap/>
            <w:tcMar>
              <w:top w:w="0" w:type="dxa"/>
              <w:left w:w="70" w:type="dxa"/>
              <w:bottom w:w="0" w:type="dxa"/>
              <w:right w:w="70" w:type="dxa"/>
            </w:tcMar>
            <w:vAlign w:val="bottom"/>
            <w:hideMark/>
          </w:tcPr>
          <w:p w:rsidR="00A231F4" w:rsidRPr="00A231F4" w:rsidRDefault="00A231F4">
            <w:pPr>
              <w:jc w:val="right"/>
              <w:rPr>
                <w:b/>
                <w:bCs/>
                <w:lang w:eastAsia="sl-SI"/>
              </w:rPr>
            </w:pPr>
            <w:r w:rsidRPr="00A231F4">
              <w:rPr>
                <w:b/>
                <w:bCs/>
                <w:lang w:eastAsia="sl-SI"/>
              </w:rPr>
              <w:t>368,22</w:t>
            </w:r>
          </w:p>
        </w:tc>
      </w:tr>
      <w:tr w:rsidR="00A231F4" w:rsidRPr="00A231F4" w:rsidTr="007E71D0">
        <w:tc>
          <w:tcPr>
            <w:tcW w:w="11590" w:type="dxa"/>
            <w:tcBorders>
              <w:top w:val="nil"/>
              <w:left w:val="single" w:sz="8" w:space="0" w:color="auto"/>
              <w:bottom w:val="single" w:sz="8" w:space="0" w:color="auto"/>
              <w:right w:val="single" w:sz="8" w:space="0" w:color="auto"/>
            </w:tcBorders>
            <w:shd w:val="clear" w:color="auto" w:fill="C6D9F1" w:themeFill="text2" w:themeFillTint="33"/>
            <w:tcMar>
              <w:top w:w="0" w:type="dxa"/>
              <w:left w:w="70" w:type="dxa"/>
              <w:bottom w:w="0" w:type="dxa"/>
              <w:right w:w="70" w:type="dxa"/>
            </w:tcMar>
            <w:vAlign w:val="bottom"/>
            <w:hideMark/>
          </w:tcPr>
          <w:p w:rsidR="00A231F4" w:rsidRPr="00A231F4" w:rsidRDefault="00A231F4">
            <w:pPr>
              <w:jc w:val="right"/>
              <w:rPr>
                <w:rFonts w:cs="Arial"/>
                <w:lang w:eastAsia="sl-SI"/>
              </w:rPr>
            </w:pPr>
            <w:r w:rsidRPr="00A231F4">
              <w:rPr>
                <w:rFonts w:cs="Arial"/>
                <w:lang w:eastAsia="sl-SI"/>
              </w:rPr>
              <w:t>vsako naslednjo odraslo osebo, ki je delovno aktivna v obsegu od 60 do 128 ur na mesec</w:t>
            </w:r>
          </w:p>
        </w:tc>
        <w:tc>
          <w:tcPr>
            <w:tcW w:w="1032" w:type="dxa"/>
            <w:tcBorders>
              <w:top w:val="nil"/>
              <w:left w:val="nil"/>
              <w:bottom w:val="single" w:sz="8" w:space="0" w:color="auto"/>
              <w:right w:val="single" w:sz="8" w:space="0" w:color="auto"/>
            </w:tcBorders>
            <w:shd w:val="clear" w:color="auto" w:fill="C6D9F1" w:themeFill="text2" w:themeFillTint="33"/>
            <w:tcMar>
              <w:top w:w="0" w:type="dxa"/>
              <w:left w:w="70" w:type="dxa"/>
              <w:bottom w:w="0" w:type="dxa"/>
              <w:right w:w="70" w:type="dxa"/>
            </w:tcMar>
            <w:vAlign w:val="bottom"/>
            <w:hideMark/>
          </w:tcPr>
          <w:p w:rsidR="00A231F4" w:rsidRPr="00A231F4" w:rsidRDefault="00A231F4">
            <w:pPr>
              <w:jc w:val="right"/>
              <w:rPr>
                <w:rFonts w:cs="Arial"/>
                <w:lang w:eastAsia="sl-SI"/>
              </w:rPr>
            </w:pPr>
            <w:r w:rsidRPr="00A231F4">
              <w:rPr>
                <w:rFonts w:cs="Arial"/>
                <w:lang w:eastAsia="sl-SI"/>
              </w:rPr>
              <w:t>0,71</w:t>
            </w:r>
          </w:p>
        </w:tc>
        <w:tc>
          <w:tcPr>
            <w:tcW w:w="1032" w:type="dxa"/>
            <w:tcBorders>
              <w:top w:val="nil"/>
              <w:left w:val="nil"/>
              <w:bottom w:val="single" w:sz="8" w:space="0" w:color="auto"/>
              <w:right w:val="single" w:sz="8" w:space="0" w:color="auto"/>
            </w:tcBorders>
            <w:shd w:val="clear" w:color="auto" w:fill="C6D9F1" w:themeFill="text2" w:themeFillTint="33"/>
            <w:tcMar>
              <w:top w:w="0" w:type="dxa"/>
              <w:left w:w="70" w:type="dxa"/>
              <w:bottom w:w="0" w:type="dxa"/>
              <w:right w:w="70" w:type="dxa"/>
            </w:tcMar>
            <w:vAlign w:val="bottom"/>
            <w:hideMark/>
          </w:tcPr>
          <w:p w:rsidR="00A231F4" w:rsidRPr="00A231F4" w:rsidRDefault="00A231F4">
            <w:pPr>
              <w:jc w:val="right"/>
              <w:rPr>
                <w:rFonts w:cs="Arial"/>
                <w:lang w:eastAsia="sl-SI"/>
              </w:rPr>
            </w:pPr>
            <w:r w:rsidRPr="00A231F4">
              <w:rPr>
                <w:rFonts w:cs="Arial"/>
                <w:lang w:eastAsia="sl-SI"/>
              </w:rPr>
              <w:t>205,05</w:t>
            </w:r>
          </w:p>
        </w:tc>
        <w:tc>
          <w:tcPr>
            <w:tcW w:w="1002" w:type="dxa"/>
            <w:tcBorders>
              <w:top w:val="nil"/>
              <w:left w:val="nil"/>
              <w:bottom w:val="single" w:sz="8" w:space="0" w:color="auto"/>
              <w:right w:val="single" w:sz="8" w:space="0" w:color="auto"/>
            </w:tcBorders>
            <w:shd w:val="clear" w:color="auto" w:fill="C6D9F1" w:themeFill="text2" w:themeFillTint="33"/>
            <w:noWrap/>
            <w:tcMar>
              <w:top w:w="0" w:type="dxa"/>
              <w:left w:w="70" w:type="dxa"/>
              <w:bottom w:w="0" w:type="dxa"/>
              <w:right w:w="70" w:type="dxa"/>
            </w:tcMar>
            <w:vAlign w:val="bottom"/>
            <w:hideMark/>
          </w:tcPr>
          <w:p w:rsidR="00A231F4" w:rsidRPr="00A231F4" w:rsidRDefault="00A231F4">
            <w:pPr>
              <w:jc w:val="right"/>
              <w:rPr>
                <w:b/>
                <w:bCs/>
                <w:lang w:eastAsia="sl-SI"/>
              </w:rPr>
            </w:pPr>
            <w:r w:rsidRPr="00A231F4">
              <w:rPr>
                <w:b/>
                <w:bCs/>
                <w:lang w:eastAsia="sl-SI"/>
              </w:rPr>
              <w:t>307,575</w:t>
            </w:r>
          </w:p>
        </w:tc>
      </w:tr>
      <w:tr w:rsidR="00A231F4" w:rsidRPr="00A231F4" w:rsidTr="007E71D0">
        <w:tc>
          <w:tcPr>
            <w:tcW w:w="11590"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A231F4" w:rsidRPr="00A231F4" w:rsidRDefault="00A231F4">
            <w:pPr>
              <w:jc w:val="right"/>
              <w:rPr>
                <w:rFonts w:cs="Arial"/>
                <w:lang w:eastAsia="sl-SI"/>
              </w:rPr>
            </w:pPr>
            <w:r w:rsidRPr="00A231F4">
              <w:rPr>
                <w:rFonts w:cs="Arial"/>
                <w:lang w:eastAsia="sl-SI"/>
              </w:rPr>
              <w:t>prvega otroka, ki je najstarejši</w:t>
            </w:r>
          </w:p>
        </w:tc>
        <w:tc>
          <w:tcPr>
            <w:tcW w:w="1032" w:type="dxa"/>
            <w:tcBorders>
              <w:top w:val="nil"/>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A231F4" w:rsidRPr="00A231F4" w:rsidRDefault="00A231F4">
            <w:pPr>
              <w:jc w:val="right"/>
              <w:rPr>
                <w:rFonts w:cs="Arial"/>
                <w:lang w:eastAsia="sl-SI"/>
              </w:rPr>
            </w:pPr>
            <w:r w:rsidRPr="00A231F4">
              <w:rPr>
                <w:rFonts w:cs="Arial"/>
                <w:lang w:eastAsia="sl-SI"/>
              </w:rPr>
              <w:t>0,76</w:t>
            </w:r>
          </w:p>
        </w:tc>
        <w:tc>
          <w:tcPr>
            <w:tcW w:w="1032" w:type="dxa"/>
            <w:tcBorders>
              <w:top w:val="nil"/>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A231F4" w:rsidRPr="00A231F4" w:rsidRDefault="00A231F4">
            <w:pPr>
              <w:jc w:val="right"/>
              <w:rPr>
                <w:rFonts w:cs="Arial"/>
                <w:lang w:eastAsia="sl-SI"/>
              </w:rPr>
            </w:pPr>
            <w:r w:rsidRPr="00A231F4">
              <w:rPr>
                <w:rFonts w:cs="Arial"/>
                <w:lang w:eastAsia="sl-SI"/>
              </w:rPr>
              <w:t>219,5</w:t>
            </w:r>
          </w:p>
        </w:tc>
        <w:tc>
          <w:tcPr>
            <w:tcW w:w="1002"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bottom"/>
            <w:hideMark/>
          </w:tcPr>
          <w:p w:rsidR="00A231F4" w:rsidRPr="00A231F4" w:rsidRDefault="00A231F4">
            <w:pPr>
              <w:jc w:val="right"/>
              <w:rPr>
                <w:b/>
                <w:bCs/>
                <w:lang w:eastAsia="sl-SI"/>
              </w:rPr>
            </w:pPr>
            <w:r w:rsidRPr="00A231F4">
              <w:rPr>
                <w:b/>
                <w:bCs/>
                <w:lang w:eastAsia="sl-SI"/>
              </w:rPr>
              <w:t>329,25</w:t>
            </w:r>
          </w:p>
        </w:tc>
      </w:tr>
      <w:tr w:rsidR="00A231F4" w:rsidRPr="00A231F4" w:rsidTr="007E71D0">
        <w:tc>
          <w:tcPr>
            <w:tcW w:w="11590"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A231F4" w:rsidRPr="00A231F4" w:rsidRDefault="00A231F4">
            <w:pPr>
              <w:jc w:val="right"/>
              <w:rPr>
                <w:rFonts w:cs="Arial"/>
                <w:lang w:eastAsia="sl-SI"/>
              </w:rPr>
            </w:pPr>
            <w:r w:rsidRPr="00A231F4">
              <w:rPr>
                <w:rFonts w:cs="Arial"/>
                <w:lang w:eastAsia="sl-SI"/>
              </w:rPr>
              <w:t>vsakega naslednjega otroka</w:t>
            </w:r>
          </w:p>
        </w:tc>
        <w:tc>
          <w:tcPr>
            <w:tcW w:w="1032" w:type="dxa"/>
            <w:tcBorders>
              <w:top w:val="nil"/>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A231F4" w:rsidRPr="00A231F4" w:rsidRDefault="00A231F4">
            <w:pPr>
              <w:jc w:val="right"/>
              <w:rPr>
                <w:rFonts w:cs="Arial"/>
                <w:lang w:eastAsia="sl-SI"/>
              </w:rPr>
            </w:pPr>
            <w:r w:rsidRPr="00A231F4">
              <w:rPr>
                <w:rFonts w:cs="Arial"/>
                <w:lang w:eastAsia="sl-SI"/>
              </w:rPr>
              <w:t>0,66</w:t>
            </w:r>
          </w:p>
        </w:tc>
        <w:tc>
          <w:tcPr>
            <w:tcW w:w="1032" w:type="dxa"/>
            <w:tcBorders>
              <w:top w:val="nil"/>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A231F4" w:rsidRPr="00A231F4" w:rsidRDefault="00A231F4">
            <w:pPr>
              <w:jc w:val="right"/>
              <w:rPr>
                <w:rFonts w:cs="Arial"/>
                <w:lang w:eastAsia="sl-SI"/>
              </w:rPr>
            </w:pPr>
            <w:r w:rsidRPr="00A231F4">
              <w:rPr>
                <w:rFonts w:cs="Arial"/>
                <w:lang w:eastAsia="sl-SI"/>
              </w:rPr>
              <w:t>190,61</w:t>
            </w:r>
          </w:p>
        </w:tc>
        <w:tc>
          <w:tcPr>
            <w:tcW w:w="1002"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bottom"/>
            <w:hideMark/>
          </w:tcPr>
          <w:p w:rsidR="00A231F4" w:rsidRPr="00A231F4" w:rsidRDefault="00A231F4">
            <w:pPr>
              <w:jc w:val="right"/>
              <w:rPr>
                <w:b/>
                <w:bCs/>
                <w:lang w:eastAsia="sl-SI"/>
              </w:rPr>
            </w:pPr>
            <w:r w:rsidRPr="00A231F4">
              <w:rPr>
                <w:b/>
                <w:bCs/>
                <w:lang w:eastAsia="sl-SI"/>
              </w:rPr>
              <w:t>285,915</w:t>
            </w:r>
          </w:p>
        </w:tc>
      </w:tr>
      <w:tr w:rsidR="00A231F4" w:rsidRPr="00A231F4" w:rsidTr="007E71D0">
        <w:tc>
          <w:tcPr>
            <w:tcW w:w="11590"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A231F4" w:rsidRPr="00A231F4" w:rsidRDefault="00A231F4">
            <w:pPr>
              <w:jc w:val="right"/>
              <w:rPr>
                <w:rFonts w:cs="Arial"/>
                <w:lang w:eastAsia="sl-SI"/>
              </w:rPr>
            </w:pPr>
            <w:r w:rsidRPr="00A231F4">
              <w:rPr>
                <w:rFonts w:cs="Arial"/>
                <w:lang w:eastAsia="sl-SI"/>
              </w:rPr>
              <w:t>povečanje za vsakega otroka v enostarševski družini, kadar je drugi od staršev umrl in otrok po njem ne dobiva prejemkov ali je drugi od staršev neznan ali kadar otrok po drugem od staršev prejemkov za preživljanje dejansko ne prejema</w:t>
            </w:r>
          </w:p>
        </w:tc>
        <w:tc>
          <w:tcPr>
            <w:tcW w:w="1032" w:type="dxa"/>
            <w:tcBorders>
              <w:top w:val="nil"/>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A231F4" w:rsidRPr="00A231F4" w:rsidRDefault="00A231F4">
            <w:pPr>
              <w:jc w:val="right"/>
              <w:rPr>
                <w:rFonts w:cs="Arial"/>
                <w:lang w:eastAsia="sl-SI"/>
              </w:rPr>
            </w:pPr>
            <w:r w:rsidRPr="00A231F4">
              <w:rPr>
                <w:rFonts w:cs="Arial"/>
                <w:lang w:eastAsia="sl-SI"/>
              </w:rPr>
              <w:t>0,2</w:t>
            </w:r>
          </w:p>
        </w:tc>
        <w:tc>
          <w:tcPr>
            <w:tcW w:w="1032" w:type="dxa"/>
            <w:tcBorders>
              <w:top w:val="nil"/>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bottom"/>
            <w:hideMark/>
          </w:tcPr>
          <w:p w:rsidR="00A231F4" w:rsidRPr="00A231F4" w:rsidRDefault="00A231F4">
            <w:pPr>
              <w:jc w:val="right"/>
              <w:rPr>
                <w:rFonts w:cs="Arial"/>
                <w:lang w:eastAsia="sl-SI"/>
              </w:rPr>
            </w:pPr>
            <w:r w:rsidRPr="00A231F4">
              <w:rPr>
                <w:rFonts w:cs="Arial"/>
                <w:lang w:eastAsia="sl-SI"/>
              </w:rPr>
              <w:t>57,76</w:t>
            </w:r>
          </w:p>
        </w:tc>
        <w:tc>
          <w:tcPr>
            <w:tcW w:w="1002" w:type="dxa"/>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bottom"/>
            <w:hideMark/>
          </w:tcPr>
          <w:p w:rsidR="00A231F4" w:rsidRPr="00A231F4" w:rsidRDefault="00A231F4">
            <w:pPr>
              <w:jc w:val="right"/>
              <w:rPr>
                <w:b/>
                <w:bCs/>
                <w:lang w:eastAsia="sl-SI"/>
              </w:rPr>
            </w:pPr>
            <w:r w:rsidRPr="00A231F4">
              <w:rPr>
                <w:b/>
                <w:bCs/>
                <w:lang w:eastAsia="sl-SI"/>
              </w:rPr>
              <w:t>86,64</w:t>
            </w:r>
          </w:p>
        </w:tc>
      </w:tr>
    </w:tbl>
    <w:p w:rsidR="00EC4D9E" w:rsidRDefault="00EC4D9E" w:rsidP="00870590">
      <w:pPr>
        <w:spacing w:after="0" w:line="240" w:lineRule="auto"/>
        <w:rPr>
          <w:rFonts w:cs="Times New Roman"/>
          <w:sz w:val="2"/>
          <w:szCs w:val="2"/>
        </w:rPr>
      </w:pPr>
    </w:p>
    <w:p w:rsidR="007E71D0" w:rsidRPr="00916AC3" w:rsidRDefault="00916AC3" w:rsidP="00061279">
      <w:pPr>
        <w:pStyle w:val="Navadensplet"/>
        <w:shd w:val="clear" w:color="auto" w:fill="FFFFFF"/>
        <w:spacing w:before="0" w:beforeAutospacing="0" w:after="210" w:afterAutospacing="0"/>
        <w:ind w:firstLine="240"/>
        <w:jc w:val="both"/>
        <w:rPr>
          <w:rFonts w:asciiTheme="minorHAnsi" w:hAnsiTheme="minorHAnsi"/>
          <w:i/>
          <w:sz w:val="6"/>
          <w:szCs w:val="2"/>
        </w:rPr>
      </w:pPr>
      <w:r>
        <w:rPr>
          <w:rFonts w:asciiTheme="minorHAnsi" w:hAnsiTheme="minorHAnsi" w:cs="Arial"/>
          <w:i/>
          <w:color w:val="333333"/>
          <w:sz w:val="22"/>
          <w:szCs w:val="18"/>
        </w:rPr>
        <w:t>P</w:t>
      </w:r>
      <w:r w:rsidR="00061279" w:rsidRPr="00916AC3">
        <w:rPr>
          <w:rFonts w:asciiTheme="minorHAnsi" w:hAnsiTheme="minorHAnsi" w:cs="Arial"/>
          <w:i/>
          <w:color w:val="333333"/>
          <w:sz w:val="22"/>
          <w:szCs w:val="18"/>
        </w:rPr>
        <w:t>o seštetju dohodkov se o</w:t>
      </w:r>
      <w:r w:rsidR="007E71D0" w:rsidRPr="00916AC3">
        <w:rPr>
          <w:rFonts w:asciiTheme="minorHAnsi" w:hAnsiTheme="minorHAnsi" w:cs="Arial"/>
          <w:i/>
          <w:color w:val="333333"/>
          <w:sz w:val="22"/>
          <w:szCs w:val="18"/>
        </w:rPr>
        <w:t xml:space="preserve">d lastnega dohodka odšteje znesek mesečnega obroka namenskega stanovanjskega </w:t>
      </w:r>
      <w:r w:rsidR="00460000" w:rsidRPr="00916AC3">
        <w:rPr>
          <w:rFonts w:asciiTheme="minorHAnsi" w:hAnsiTheme="minorHAnsi" w:cs="Arial"/>
          <w:i/>
          <w:color w:val="333333"/>
          <w:sz w:val="22"/>
          <w:szCs w:val="18"/>
        </w:rPr>
        <w:t>posojila</w:t>
      </w:r>
      <w:r w:rsidR="007E71D0" w:rsidRPr="00916AC3">
        <w:rPr>
          <w:rFonts w:asciiTheme="minorHAnsi" w:hAnsiTheme="minorHAnsi" w:cs="Arial"/>
          <w:i/>
          <w:color w:val="333333"/>
          <w:sz w:val="22"/>
          <w:szCs w:val="18"/>
        </w:rPr>
        <w:t xml:space="preserve"> za stanovanje oziroma hišo, v ka</w:t>
      </w:r>
      <w:r w:rsidR="007E71D0" w:rsidRPr="00916AC3">
        <w:rPr>
          <w:rFonts w:asciiTheme="minorHAnsi" w:hAnsiTheme="minorHAnsi" w:cs="Arial"/>
          <w:i/>
          <w:color w:val="333333"/>
          <w:sz w:val="22"/>
          <w:szCs w:val="18"/>
        </w:rPr>
        <w:t>teri upravičenec dejansko živi</w:t>
      </w:r>
      <w:r w:rsidR="008C75F1" w:rsidRPr="00916AC3">
        <w:rPr>
          <w:rFonts w:asciiTheme="minorHAnsi" w:hAnsiTheme="minorHAnsi" w:cs="Arial"/>
          <w:i/>
          <w:color w:val="333333"/>
          <w:sz w:val="22"/>
          <w:szCs w:val="18"/>
        </w:rPr>
        <w:t xml:space="preserve">, </w:t>
      </w:r>
      <w:r w:rsidR="00006C6B" w:rsidRPr="00916AC3">
        <w:rPr>
          <w:rFonts w:asciiTheme="minorHAnsi" w:hAnsiTheme="minorHAnsi" w:cs="Arial"/>
          <w:i/>
          <w:color w:val="333333"/>
          <w:sz w:val="22"/>
          <w:szCs w:val="18"/>
        </w:rPr>
        <w:t>odštejejo</w:t>
      </w:r>
      <w:r w:rsidR="008C75F1" w:rsidRPr="00916AC3">
        <w:rPr>
          <w:rFonts w:asciiTheme="minorHAnsi" w:hAnsiTheme="minorHAnsi" w:cs="Arial"/>
          <w:i/>
          <w:color w:val="333333"/>
          <w:sz w:val="22"/>
          <w:szCs w:val="18"/>
        </w:rPr>
        <w:t xml:space="preserve"> se tudi strošk</w:t>
      </w:r>
      <w:r w:rsidR="00006C6B">
        <w:rPr>
          <w:rFonts w:asciiTheme="minorHAnsi" w:hAnsiTheme="minorHAnsi" w:cs="Arial"/>
          <w:i/>
          <w:color w:val="333333"/>
          <w:sz w:val="22"/>
          <w:szCs w:val="18"/>
        </w:rPr>
        <w:t>i</w:t>
      </w:r>
      <w:r w:rsidR="008C75F1" w:rsidRPr="00916AC3">
        <w:rPr>
          <w:rFonts w:asciiTheme="minorHAnsi" w:hAnsiTheme="minorHAnsi" w:cs="Arial"/>
          <w:i/>
          <w:color w:val="333333"/>
          <w:sz w:val="22"/>
          <w:szCs w:val="18"/>
        </w:rPr>
        <w:t xml:space="preserve"> dela ter morebitn</w:t>
      </w:r>
      <w:r w:rsidR="00006C6B">
        <w:rPr>
          <w:rFonts w:asciiTheme="minorHAnsi" w:hAnsiTheme="minorHAnsi" w:cs="Arial"/>
          <w:i/>
          <w:color w:val="333333"/>
          <w:sz w:val="22"/>
          <w:szCs w:val="18"/>
        </w:rPr>
        <w:t>i</w:t>
      </w:r>
      <w:r w:rsidR="008C75F1" w:rsidRPr="00916AC3">
        <w:rPr>
          <w:rFonts w:asciiTheme="minorHAnsi" w:hAnsiTheme="minorHAnsi" w:cs="Arial"/>
          <w:i/>
          <w:color w:val="333333"/>
          <w:sz w:val="22"/>
          <w:szCs w:val="18"/>
        </w:rPr>
        <w:t xml:space="preserve"> dodatk</w:t>
      </w:r>
      <w:r w:rsidR="00006C6B">
        <w:rPr>
          <w:rFonts w:asciiTheme="minorHAnsi" w:hAnsiTheme="minorHAnsi" w:cs="Arial"/>
          <w:i/>
          <w:color w:val="333333"/>
          <w:sz w:val="22"/>
          <w:szCs w:val="18"/>
        </w:rPr>
        <w:t>i</w:t>
      </w:r>
      <w:r w:rsidR="008C75F1" w:rsidRPr="00916AC3">
        <w:rPr>
          <w:rFonts w:asciiTheme="minorHAnsi" w:hAnsiTheme="minorHAnsi" w:cs="Arial"/>
          <w:i/>
          <w:color w:val="333333"/>
          <w:sz w:val="22"/>
          <w:szCs w:val="18"/>
        </w:rPr>
        <w:t xml:space="preserve"> za pomoč in postrežbo ter socialni varstveni dodatek</w:t>
      </w:r>
      <w:r w:rsidR="007E71D0" w:rsidRPr="00916AC3">
        <w:rPr>
          <w:rFonts w:asciiTheme="minorHAnsi" w:hAnsiTheme="minorHAnsi" w:cs="Arial"/>
          <w:i/>
          <w:color w:val="333333"/>
          <w:sz w:val="22"/>
          <w:szCs w:val="18"/>
        </w:rPr>
        <w:t>.</w:t>
      </w:r>
      <w:r w:rsidR="008C75F1" w:rsidRPr="00916AC3">
        <w:rPr>
          <w:rFonts w:asciiTheme="minorHAnsi" w:hAnsiTheme="minorHAnsi" w:cs="Arial"/>
          <w:i/>
          <w:color w:val="333333"/>
          <w:sz w:val="22"/>
          <w:szCs w:val="18"/>
        </w:rPr>
        <w:t xml:space="preserve"> Končni znesek se primerja s </w:t>
      </w:r>
      <w:r w:rsidR="00442675" w:rsidRPr="00916AC3">
        <w:rPr>
          <w:rFonts w:asciiTheme="minorHAnsi" w:hAnsiTheme="minorHAnsi" w:cs="Arial"/>
          <w:i/>
          <w:color w:val="333333"/>
          <w:sz w:val="22"/>
          <w:szCs w:val="18"/>
        </w:rPr>
        <w:t xml:space="preserve">seštevkom cenzusov iz zgornje razpredelnice, ki ga </w:t>
      </w:r>
      <w:r w:rsidR="00006C6B">
        <w:rPr>
          <w:rFonts w:asciiTheme="minorHAnsi" w:hAnsiTheme="minorHAnsi" w:cs="Arial"/>
          <w:i/>
          <w:color w:val="333333"/>
          <w:sz w:val="22"/>
          <w:szCs w:val="18"/>
        </w:rPr>
        <w:t xml:space="preserve">upravičenec za dodelitev pomoči </w:t>
      </w:r>
      <w:r w:rsidR="00442675" w:rsidRPr="00916AC3">
        <w:rPr>
          <w:rFonts w:asciiTheme="minorHAnsi" w:hAnsiTheme="minorHAnsi" w:cs="Arial"/>
          <w:i/>
          <w:color w:val="333333"/>
          <w:sz w:val="22"/>
          <w:szCs w:val="18"/>
        </w:rPr>
        <w:t>ne sme preseči.</w:t>
      </w:r>
      <w:bookmarkStart w:id="0" w:name="_GoBack"/>
      <w:bookmarkEnd w:id="0"/>
    </w:p>
    <w:sectPr w:rsidR="007E71D0" w:rsidRPr="00916AC3" w:rsidSect="00061279">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20"/>
    <w:rsid w:val="00006C6B"/>
    <w:rsid w:val="00027171"/>
    <w:rsid w:val="00061279"/>
    <w:rsid w:val="00111C33"/>
    <w:rsid w:val="00133179"/>
    <w:rsid w:val="00137362"/>
    <w:rsid w:val="00235318"/>
    <w:rsid w:val="002E309E"/>
    <w:rsid w:val="003C683C"/>
    <w:rsid w:val="00442675"/>
    <w:rsid w:val="00460000"/>
    <w:rsid w:val="005D094C"/>
    <w:rsid w:val="0068273B"/>
    <w:rsid w:val="006F72CD"/>
    <w:rsid w:val="00713D3B"/>
    <w:rsid w:val="007E71D0"/>
    <w:rsid w:val="00870590"/>
    <w:rsid w:val="00892E4D"/>
    <w:rsid w:val="008C75F1"/>
    <w:rsid w:val="00916AC3"/>
    <w:rsid w:val="009E1483"/>
    <w:rsid w:val="00A231F4"/>
    <w:rsid w:val="00BF0420"/>
    <w:rsid w:val="00EC4D9E"/>
    <w:rsid w:val="00F54D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7E71D0"/>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7E71D0"/>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99002">
      <w:bodyDiv w:val="1"/>
      <w:marLeft w:val="0"/>
      <w:marRight w:val="0"/>
      <w:marTop w:val="0"/>
      <w:marBottom w:val="0"/>
      <w:divBdr>
        <w:top w:val="none" w:sz="0" w:space="0" w:color="auto"/>
        <w:left w:val="none" w:sz="0" w:space="0" w:color="auto"/>
        <w:bottom w:val="none" w:sz="0" w:space="0" w:color="auto"/>
        <w:right w:val="none" w:sz="0" w:space="0" w:color="auto"/>
      </w:divBdr>
    </w:div>
    <w:div w:id="1503817940">
      <w:bodyDiv w:val="1"/>
      <w:marLeft w:val="0"/>
      <w:marRight w:val="0"/>
      <w:marTop w:val="0"/>
      <w:marBottom w:val="0"/>
      <w:divBdr>
        <w:top w:val="none" w:sz="0" w:space="0" w:color="auto"/>
        <w:left w:val="none" w:sz="0" w:space="0" w:color="auto"/>
        <w:bottom w:val="none" w:sz="0" w:space="0" w:color="auto"/>
        <w:right w:val="none" w:sz="0" w:space="0" w:color="auto"/>
      </w:divBdr>
    </w:div>
    <w:div w:id="155485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331</Words>
  <Characters>1891</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Rozman</dc:creator>
  <cp:lastModifiedBy>Gregor Rozman</cp:lastModifiedBy>
  <cp:revision>3</cp:revision>
  <dcterms:created xsi:type="dcterms:W3CDTF">2016-01-15T07:47:00Z</dcterms:created>
  <dcterms:modified xsi:type="dcterms:W3CDTF">2016-02-05T08:26:00Z</dcterms:modified>
</cp:coreProperties>
</file>